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DF4D3B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Валацикловир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Торговое название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Валацикловир-ратиофарм</w:t>
      </w:r>
      <w:proofErr w:type="spellEnd"/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Международное непатентованное название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Лекарственная форма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Таблетки, покрытые пленочной оболочкой, 500 мг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Одна таблетка содержит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активное вещество -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гидрохлорида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дигидрата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611.48 мг (эквивалентно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валацикловиру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500 мг),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вспомогательные вещества: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крахмал кукурузный, натрия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кроскармеллоза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натрия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стеарил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фумарата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целлюлоза порошок,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состав оболочки: 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гипромеллоза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(3cps),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гипромеллоза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(6cps), титана диоксид (Е171),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макрогол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400,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полисорбат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80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 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Описание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Таблетки продолговатой формы, с двояковыпуклой поверхностью, покрытые пленочной оболочкой, белого цвета, с риской, с гравировкой «VL» и буквой «D» на одной стороне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Фармакотерапевтическая группа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Противовирусные препараты для системного применения. Противовирусные препараты прямого действия. Нуклеозиды и нуклеотиды.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Код АТХ J05AB11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Фармакологические свойства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Фармакокинетика</w:t>
      </w:r>
      <w:proofErr w:type="spellEnd"/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Абсорбция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является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пролекарством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ацикловира. При приеме внутрь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биодоступность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ацикловира, полученного в результате трансформации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 3,3 – 5,5 раз выше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биодоступности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обычного ацикловира. После приема внутрь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хорошо абсорбируется, а также быстро и практически полностью превращается в ацикловир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валин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Эта трансформация, вероятно, обусловлена действием фермента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валацикловиргидролазы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который выделяется в печени человека.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Биодоступность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ацикловира при приеме 1000 мг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составляет 54% и не снижается при одновременном приеме пищи.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Фармакокинетические параметры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пропорциональны дозе. Скорость и уровень абсорбции снижаются с увеличением дозировки таким образом, что повышение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Cmax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диапазоне терапевтических дозировок носит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сублинейный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характер, 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биодоступность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снижается при приеме 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дозировок, превышающих 500 мг. Расчетные фармакокинетические (ФК) параметры ацикловира у здоровых добровольцев с нормальной почечной функцией после однократного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дозировке от 250 до 2000 мг приведены ниже.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9"/>
        <w:gridCol w:w="1785"/>
        <w:gridCol w:w="1649"/>
        <w:gridCol w:w="1569"/>
        <w:gridCol w:w="1569"/>
        <w:gridCol w:w="1449"/>
      </w:tblGrid>
      <w:tr w:rsidR="00DF4D3B" w:rsidRPr="00DF4D3B" w:rsidTr="00DF4D3B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параметры ацикловира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мг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(N=15)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(N=15)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мг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(N=15)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мг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(N=8)</w:t>
            </w:r>
          </w:p>
        </w:tc>
      </w:tr>
      <w:tr w:rsidR="00DF4D3B" w:rsidRPr="00DF4D3B" w:rsidTr="00DF4D3B"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Cmax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Мкг/мл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 ± 0.38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 ± 0.95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 ± 1.92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± 1.43</w:t>
            </w:r>
          </w:p>
        </w:tc>
      </w:tr>
      <w:tr w:rsidR="00DF4D3B" w:rsidRPr="00DF4D3B" w:rsidTr="00DF4D3B"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Tmax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(ч)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 (0.75-1.5)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(0.75–2.5)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(0.75–3.0)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(1.5–3.0)</w:t>
            </w:r>
          </w:p>
        </w:tc>
      </w:tr>
      <w:tr w:rsidR="00DF4D3B" w:rsidRPr="00DF4D3B" w:rsidTr="00DF4D3B"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Мкг-ч/мл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± 0.82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 ± 1.75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 ± 4.51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 ± 6.36</w:t>
            </w:r>
          </w:p>
        </w:tc>
      </w:tr>
    </w:tbl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Cmax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пиковая концентрация;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Tmax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= время достижения пиковой концентрации; AUC = площадь под кривой «концентрация – время». Для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Cmax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AUC приведены средние значения ± стандартное отклонение. Для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Tmax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приведен диапазон средних значений.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Пиковые концентрации неизмененного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плазме крови через 30–100 мин после приема дозы составляют всего 4% от максимальных концентраций ацикловира, а через 3 ч снижаются ниже определяемого уровня. Фармакокинетические профили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ацикловира при однократном и повторном применении подобны. Вирус опоясывающего и простого герпеса, а также ВИЧ-инфекция существенно не меняют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фармакокинетику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ацикловира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после перорального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У реципиентов органов, которые получали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дозе 2000 мг 4 раза/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пиковая концентрация ацикловира равнялась или превышала таковую у здоровых добровольцев, получавших такую же дозу препарата, а суточные значения AUC были значительно выше.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Распределение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Связывание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белками плазмы очень низкое (15%). Степень проникновения в спинномозговую жидкость (СМЖ), определяемая по отношению значения AUC для СМЖ к AUC для плазмы крови, не зависит от почечной функции и составляет около 25% для ацикловира и метаболита 8-OH-ACV (8-гидрокси-ацикловир) и 2,5% для метаболита CMMG (9</w:t>
      </w: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-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карбоксиметокси</w:t>
      </w: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-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метилгуанин).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Биотрансформация</w:t>
      </w:r>
      <w:proofErr w:type="spellEnd"/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После приема внутрь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преобразуется в ацикловир и L-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валин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результате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пресистемного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метаболизма при «первом прохождении» через кишечник и/или печень. Ацикловир в незначительной степени преобразуется в метаболиты CMMG под действием алкогол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ь-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альдегиддегидрогеназы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8-ОН-ACV под действием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альдегидоксидазы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Процентное отношение содержания ацикловира и его метаболитов в плазме крови приблизительно следующее: 88% ацикловир, 11% CMMG и 1% 8-ОН-ACV. Метаболизм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ацикловира не связан с ферментами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цитохрома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P450.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Выведение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выводится с мочой, в основном в виде ацикловира (более 80% определяемой дозы) и его метаболита CMMG (около 14% определяемой дозы). В моче также присутствует метаболит 8-ОН-ACV, но в очень незначительных количествах (&lt; 2% определяемой дозы). Менее 1% принятой дозы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выводится с мочой в неизмененном виде. Период полувыведения ацикловира из плазмы после однократного и повторного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пациентами с нормальной функцией почек составляет примерно 3 ч.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Отдельные категории пациентов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Почечная недостаточность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Выведение ацикловира коррелирует с почечной функцией, и концентрации ацикловира в крови пациентов с почечной недостаточностью повышаются в случае ухудшения функции почек. У пациентов с терминальной стадией почечной недостаточности период полувыведения ацикловира после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составляет приблизительно 14 ч, по сравнению с 3 ч у пациентов с нормальной почечной функцией.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Концентрации ацикловира и его метаболитов CMMG и 8-ОН-ACV в плазме крови и СМЖ изучались в равновесном состоянии после многократного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пациентами с нормальной почечной функцией (средние значения клиренса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111 мл/мин, диапазон от 91 до 144 мл/мин) в дозе 2000 мг каждые 6 ч и 3 пациентами с тяжелой почечной недостаточностью (средние значения клиренса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26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мл/мин, диапазон от 17 до 31 мл/мин) в дозе 1500 мг каждые 12 ч. Концентрации ацикловира, CMMG и 8-ОН-ACV в плазме крови и СМЖ у пациентов с тяжелой почечной недостаточностью были в среднем в 2, 4, 5 и 6 раз выше, соответственно, чем у пациентов с нормальной почечной функцией.</w:t>
      </w:r>
      <w:proofErr w:type="gramEnd"/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Печеночная недостаточность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Данные фармакокинетических исследований указывают на то, что у пациентов с печеночной недостаточностью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превращается в ацикловир в той же степени, что и в случае со здоровыми добровольцами, однако скорость этой трансформации снижается. Период полувыведения ацикловира не изменяется.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Беременные женщины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Исследования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фармакокинетики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ацикловира на поздних сроках беременности не выявили изменений в фармакокинетическом профиле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Выделение в грудное молоко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После приема внутрь 500 мг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пиковые концентрации (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Cmax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ацикловира в грудном молоке в 0,5–2,3 раза превышали концентрации ацикловира в плазме крови матери.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Средняя концентрация ацикловира в грудном молоке составляла 2,24 мкг/мл (9,95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мкмоль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/л). В случае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матерью в дозе 500 мг 2 раза в сутки с грудным молоком ребенок получит дозу ацикловира, равную около 0,61 мкг/кг/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Периоды полувыведения ацикловира из грудного молока и плазмы крови одинаковы. Неизмененный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определялся в плазме матери, грудном молоке или моче ребенка.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Фармакодинамика</w:t>
      </w:r>
      <w:proofErr w:type="spellEnd"/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Противовирусный препарат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Валацикловир-Тева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является L-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валиновым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эфиром ацикловира, а ацикловир, в свою очередь, относится к аналогам пуриновых нуклеозидов (гуанина).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организме человека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вероятно при помощи фермента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валацикловиргидролазы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быстро и почти полностью превращается в ацикловир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валин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Ацикловир представляет собой специфический ингибитор ДНК-полимеразы вирусов герпеса и проявляет активность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in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vitro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против вирусов простого герпеса (ВПГ) 1 и 2 типа, вируса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Varicella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zoster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(VZV),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цитомегаловируса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(ЦМВ), вируса Эпштейна-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Барра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(ВЭБ) и вируса герпеса человека 6 типа (ВГЧ-6). Ацикловир конкурентно ингибирует вирусную ДНК-полимеразу сразу после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фосфорилирования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превращения в активную форму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трифосфат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ацикловира.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Первая стадия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фосфорилирования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требует активности вирусоспецифического фермента. Для ВПГ, VZV и ВЭБ этим ферментом является 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вирусная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тимидинкиназа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(ТК), которая присутствует только в клетках, инфицированных вирусом. Для ЦМВ селективность препарата обусловлена тем, что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фосфорилирование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по крайней мере, частично, опосредовано продуктом гена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фосфотрансферазы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UL97. Активация ацикловира специфическим вирусным ферментом в значительной степени объясняет его селективность.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Процесс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фосфорилирования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ацикловира (преобразование из мон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о-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трифосфат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осуществляется клеточными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киназами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Ацикловира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трифосфат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конкурентно ингибирует вирусную ДНК-полимеразу и встраивается в вирусную ДНК, что приводит к облигатному разрыву цепи, прекращению синтеза ДНК и блокированию репликации вируса.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Резистентность к препарату обычно развивается вследствие фенотипического дефицита 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вирусной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тимидинкиназы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Иногда снижение чувствительности к ацикловиру обусловлено появлением штаммов вируса с нарушенной структурой вирусной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тимидинкиназы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ДНК-полимеразы. Вирулентность таких штаммов схожа с вирулентностью вирусов дикого типа.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Изучение клинических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изолятов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ВПГ и VZV, полученных у больных, принимавших ацикловир для лечения или профилактики, показывает, что у пациентов с нормальным иммунитетом вирус со сниженной чувствительностью к ацикловиру встречается исключительно редко.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Даже у пациентов с тяжелыми формами иммунодефицита, например, реципиентов органов или костного мозга, пациентов, проходящих курс химиотерапии злокачественных новообразований, и ВИЧ-инфицированных, снижение чувствительности к ацикловиру – явление нечастое.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lastRenderedPageBreak/>
        <w:t>Показания к применению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Инфекции, вызываемые вирусом </w:t>
      </w:r>
      <w:proofErr w:type="spellStart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Varicella</w:t>
      </w:r>
      <w:proofErr w:type="spellEnd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zoster</w:t>
      </w:r>
      <w:proofErr w:type="spellEnd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(VZV)- опоясывающий герпес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опоясывающий герпес (опоясывающий лишай)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офтальмогерпес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 взрослых иммунокомпетентных пациентов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опоясывающий герпес у взрослых пациентов с легким или умеренным иммунодефицитом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Цитомегаловирусная</w:t>
      </w:r>
      <w:proofErr w:type="spellEnd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инфекция (ЦМВ)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профилактика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цитомегаловирусной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инфекции у взрослых после трансплантации паренхиматозных органов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Способ применения и дозы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Опоясывающий герпес и </w:t>
      </w:r>
      <w:proofErr w:type="spellStart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офтальмогерпес</w:t>
      </w:r>
      <w:proofErr w:type="spellEnd"/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Пациенты должны быть осведомлены о том, что начинать лечение следует как можно раньше, желательно сразу же после диагностирования опоясывающего лишая.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Нет данных об эффективности лечения, начатого через 72 часа с момента появления сыпи, ассоциированной с опоясывающим лишаем.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Иммунокомпетентные взрослые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Дозировка для иммунокомпетентных взрослых: по 1000 мг 3 раза в сутки каждые 8 часов в течение 7 дней (суммарная суточная доза составляет 3000 мг). Пациентам с почечной недостаточностью рекомендуются сниженные дозы, которые определяются в соответствии с клиренсом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(см. пункт «Почечная недостаточность»).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Взрослые пациенты со сниженным иммунитетом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Дозировка для взрослых пациентов со сниженным иммунитетом: по 1000 мг 3 раза в сутки каждые 8 часов в течение 7 дней (суммарная суточная доза составляет 3000 мг). После образования струпьев лечение продолжают еще в течение 2 дней. Пациентам с почечной недостаточностью рекомендуются сниженные дозы, которые определяются в соответствии с клиренсом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(см. пункт «Почечная недостаточность»).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 пациентов со сниженным иммунитетом противовирусную терапию начинают в течение одной недели после образования пузырьков или же в любой момент до образования струпьев.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Профилактика </w:t>
      </w:r>
      <w:proofErr w:type="spellStart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цитомегаловирусной</w:t>
      </w:r>
      <w:proofErr w:type="spellEnd"/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инфекции (ЦМВ) у взрослых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Рекомендуемая доза составляет по 2000 мг 4 раза в сутки каждые 6 часов, и препарат следует назначать как можно раньше после проведения трансплантации.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Пациентам с почечной недостаточностью рекомендуются сниженные дозы, которые определяются в соответствии с клиренсом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(см. пункт «Почечная недостаточность»).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Продолжительность курса лечения обычно составляет 90 дней, но в случае с пациентами, входящими в группу высокого риска, может потребоваться более длительная терапия.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Отдельные категории пациентов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Пожилые пациенты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лечении пожилых пациентов следует учитывать возможность ухудшения почечной функции и корректировать дозу в соответствии с клиренсом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(см. пункт «Почечная недостаточность»). Необходимо обеспечивать адекватную гидратацию организма.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Почечная недостаточность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приеме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пациентами с почечной недостаточностью следует соблюдать все необходимые меры предосторожности, в том числе обеспечивать адекватную гидратацию организма. Пациентам с почечной недостаточностью рекомендуются сниженные дозы (см. таблицу 1).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Пациенты на гемодиализе принимают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после завершения процедуры гемодиализа. Рекомендован частый мониторинг клиренса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особенно в периоды резких изменений почечной 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функции, например, сразу после трансплантации почки или приживления трансплантата. Доза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корректируется соответствующим образом.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Печеночная недостаточность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Результаты исследований безопасности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дозе 1000 мг взрослыми пациентами с печеночной недостаточностью от легкой до умеренной степени тяжести (в случае если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белковосинтезирующая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функция печени сохранена) указывают на отсутствие необходимости в коррекции дозы.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Фармакокинетические параметры пациентов с циррозом на поздних стадиях (с нарушением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белковосинтезирующей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функции печени и наличием шунтов между портальной системой и общим сосудистым руслом) свидетельствуют об отсутствии необходимости в коррекции дозы, однако клинический опыт применения препарата у этой группы пациентов ограничен.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Таблица 1: Коррекция дозы у пациентов с почечной недостаточностью</w:t>
      </w: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4"/>
        <w:gridCol w:w="1998"/>
        <w:gridCol w:w="2328"/>
      </w:tblGrid>
      <w:tr w:rsidR="00DF4D3B" w:rsidRPr="00DF4D3B" w:rsidTr="00DF4D3B"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Показания к применению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Клиренс </w:t>
            </w:r>
            <w:proofErr w:type="spellStart"/>
            <w:r w:rsidRPr="00D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мл/мин.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Доза </w:t>
            </w:r>
            <w:proofErr w:type="spellStart"/>
            <w:r w:rsidRPr="00DF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Валацикловира-Теваа</w:t>
            </w:r>
            <w:proofErr w:type="spellEnd"/>
          </w:p>
        </w:tc>
      </w:tr>
      <w:tr w:rsidR="00DF4D3B" w:rsidRPr="00DF4D3B" w:rsidTr="00DF4D3B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Инфекции, вызываемые вирусом </w:t>
            </w:r>
            <w:proofErr w:type="spellStart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proofErr w:type="spellEnd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proofErr w:type="spellEnd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(VZV)</w:t>
            </w:r>
          </w:p>
        </w:tc>
      </w:tr>
      <w:tr w:rsidR="00DF4D3B" w:rsidRPr="00DF4D3B" w:rsidTr="00DF4D3B"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Лечение опоясывающего герпеса</w:t>
            </w: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иммунокомпетентных взрослых и взрослых со сниженным иммунитетом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≥50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30-49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10-29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1000 мг 3 раза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1000 мг 2 раза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мг 1 раз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 1 раз в сутки</w:t>
            </w:r>
          </w:p>
        </w:tc>
      </w:tr>
      <w:tr w:rsidR="00DF4D3B" w:rsidRPr="00DF4D3B" w:rsidTr="00DF4D3B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Цитомегаловирусная</w:t>
            </w:r>
            <w:proofErr w:type="spellEnd"/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(ЦМВ)</w:t>
            </w:r>
          </w:p>
        </w:tc>
      </w:tr>
      <w:tr w:rsidR="00DF4D3B" w:rsidRPr="00DF4D3B" w:rsidTr="00DF4D3B"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ЦМВ у взрослых и подростков после трансплантации солидных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≥75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&lt;75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&lt; 50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&lt;25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 или пациент на диализе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2000 мг 4 раза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1500 мг 4 раза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1500 мг 3 раза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1500 мг 2 раза в сутки</w:t>
            </w:r>
          </w:p>
          <w:p w:rsidR="00DF4D3B" w:rsidRPr="00DF4D3B" w:rsidRDefault="00DF4D3B" w:rsidP="00DF4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мг 1 раз в сутки</w:t>
            </w:r>
          </w:p>
        </w:tc>
      </w:tr>
    </w:tbl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Пациенты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гемодиализе принимают соответствующую дозу после завершения процедуры диализа.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Побочные действия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Очень часто(≥ 1/10)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головная боль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Часто (≥1/100 до ≤ 1/10)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тошнота, рвота, диарея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головокружение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кожные высыпания, включая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фоточувствительность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зуд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Не часто(≥1/1000 до ≤ 1/100)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лейкопения, тромбоцитопения (лейкопения отмечается преимущественно у пациентов со сниженным иммунитетом)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спутанность сознания, галлюцинации, заторможенность, тремор, возбуждение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одышка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дискомфорт в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эпигастральной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области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обратимое повышение показателей функциональных печеночных тестов (билирубин, печеночные ферменты)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крапивница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боль в области почек, кровь в моче (обычно связаны с другими нарушениями со стороны почек)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Редко(≥1/10000 до ≤ 1/1000)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анафилаксия, ангионевротический отек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атаксия, дизартрия, судороги, энцефалопатия, кома, психотические симптомы, делирий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нарушение функции почек, острая почечная недостаточность (особенно у пожилых пациентов или у пациентов с нарушением функции почек, принимающих дозировки, превышающие рекомендованные)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Единичные случаи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отложение в почечных канальцах осадка ацикловира в виде кристаллов.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Во время лечения необходимо обеспечивать адекватное восполнение потери жидкости. Неврологические нарушения (иногда тяжелые) могут быть связаны с энцефалопатией и проявляются в виде спутанности сознания, возбуждения, судорог, галлюцинаций и комы. Указанные симптомы, как правило, обратимы и обычно наблюдаются у пациентов с почечной недостаточностью или на фоне других предрасполагающих состояний. У пациентов, перенесших трансплантацию органа и получающих высокие дозы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(8000 мг/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для профилактики ЦМВ, неврологические реакции развиваются чаще, чем при приеме более низких доз.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Получены сообщения о почечной недостаточности,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микроангиопатической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гемолитической анемии и тромбоцитопении (иногда в комбинации) у пациентов с тяжелыми формами иммунодефицита, особенно на поздних стадиях ВИЧ-инфекции, получавших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высоких дозах (8000 мг/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в течение длительного периода времени в клинических исследованиях. Подобные нарушения отмечались также и у пациентов с аналогичным иммунологическим статусом и сопутствующими заболеваниями, не принимавших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Противопоказания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повышенная чувствительность к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валацикловиру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ацикловиру или любому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 вспомогательных веществ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детский и подростковый возраст до 18 лет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клинически выраженные формы ВИЧ инфекции (количество СД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 менее 100 клеток)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Лекарственные взаимодействия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осторожностью назначают в сочетании с нефротоксическими препаратами, особенно пациентам с почечной недостаточностью. В том случае если сочетанного применения указанных препаратов избежать не удается, показан регулярный мониторинг почечной функции. К препаратам, влияющим на функцию почек, относятся: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аминогликозиды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органоплатиновые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комплексы, йодированные контрастные вещества,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метотрексат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пентамидин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фоскарнет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циклоспорин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такролимус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Ацикловир выводится преимущественно в неизмененном виде с мочой путем активной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канальцевой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секреции.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Циметидин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пробенецид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после приема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дозе 1000 мг, снижают почечный 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клиренс ацикловира и повышают AUC ацикловира на 25% и 45%, соответственно, ингибируя почечный клиренс. При одновременном сочетанном применении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циметидина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пробенецида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AUC ацикловира повышается на 65%. Другие препараты (в том числе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тенофовир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которые оказывают воздействие или ингибируют активную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канальцевую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секрецию, также могут повышать концентрации ацикловира посредством указанного механизма. Аналогичным образом сочетанное применение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может повышать плазменные концентрации других препаратов.  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Пациентам, получающим высокие дозы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(например, для лечения опоясывающего лишая или профилактики ЦМВ), сочетанное применение препаратов, ингибирующих активную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канальцевую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экскрецию, назначается с осторожностью.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одновременном применении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 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микофенолата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мофетилом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(иммунодепрессант) у пациентов, перенесших трансплантацию органов, повышаются значения 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плазменной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AUC ацикловира и неактивного метаболита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микофенолата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мофетила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Однако у здоровых добровольцев сочетанное применение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микофенолата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мофетила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привело к изменениям пиковых концентраций и значений AUC. Опыт применения указанного сочетания препаратов в клинической практике ограничен.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Особые указания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Уровень гидратации организма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Пациентам с высоким риском дегидратации, особенно больным пожилого возраста, в период лечения необходимо обеспечить адекватный уровень гидратации организма.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Пациенты с почечной недостаточностью и пожилые пациенты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Ацикловир выводится посредством почечного клиренса, поэтому пациентам с почечной недостаточностью рекомендуются снижение доз. У пациентов пожилого возраста достаточно часто отмечается ухудшение функции почек, поэтому при лечении этой группы пациентов следует учитывать потенциальную необходимость пересмотра режима дозирования и назначения более низких доз препарата. Пациенты с почечной недостаточностью и больные пожилого возраста входят в группу высокого риска развития неврологических осложнений. В таких случаях показан тщательный мониторинг на предмет выявления соответствующих симптомов. Полученные отчеты по безопасности свидетельствуют об обратимости вышеуказанных реакций после прекращения лечения.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Применение более высоких доз препарата при печеночной недостаточности и у пациентов после трансплантации печени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Нет данных относительно применения более высоких доз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(≥4000 мг/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для лечения пациентов с заболеваниями печени. Специальных исследований по изучению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вовлечением пациентов, перенесших трансплантацию печени, не проводилось, поэтому суточные дозы, превышающие 4000 мг, следует назначать этой категории пациентов с большой осторожностью.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Применение для лечения опоясывающего лишая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Показан тщательный мониторинг клинического ответа на лечение, особенно в случае с пациентами со сниженным иммунитетом. Если пероральная терапия недостаточно эффективна, рассматривается возможность назначения внутривенной противовирусной терапии.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Пациентам с осложненным течением заболевания, включая поражение висцеральных органов, диссеминированный опоясывающий лишай, двигательную невропатию, энцефалит и цереброваскулярные осложнения, противовирусная терапия назначается внутривенно. Также внутривенное введение препарата показано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иммунокомпрометированным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пациентам с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офтальмогерпесом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а также больным, которые входят в группу высокого риска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диссеминирования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заболевания и поражения висцеральных органов.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Применение для профилактики ЦМВ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Пациенты, принимающие высокие дозы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для профилактики ЦМВ, более подвержены развитию нежелательных лекарственных реакций, включая нарушения со стороны ЦНС, чем пациенты с другими показаниями, для лечения которых применяются более низкие дозы препарата. Во время лечения показан тщательный мониторинг почечной функции, при выявлении изменений в работе почек, дозы корректируются соответствующим образом.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Беременность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Данных о применении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 беременности недостаточно, достоверного и безопасного заключения о безопасности препарата при беременности сделать нельзя. Лечение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валацикловиром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 период беременности назначается только в том случае, если ожидаемая польза терапии превышает потенциальный риск для плода.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Грудное вскармливание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Ацикловир, главный метаболит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выделяется в грудное молоко. Однако при приеме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терапевтических дозах воздействие препарата на новорожденных/младенцев с грудным вскармливанием маловероятно, поскольку доза, получаемая ребенком, не превышает 2% от терапевтической дозы внутривенного ацикловира (показанной для лечения неонатального герпеса). Кормящим матерям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назначают с осторожностью и только при наличии клинических показаний.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Особенности влияния на способность управлять транспортным средством или потенциально опасными механизмами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Исследований влияния препарата на способность управлять автотранспортом и проводить работы с движущимися механизмами не проводилось. При оценке способности пациента управлять автомобилем или другими механизмами следует учитывать его клиническое состояние и профиль побочных эффектов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валацикловира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Передозировка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Симптомы: 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сообщалось о случаях острой почечной недостаточности и развития неврологических симптомов, включая спутанность сознания, галлюцинации, возбуждение, заторможенность и кому. 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Возможны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также тошнота и рвота. Во избежание передозировки при приеме препарата следует соблюдать меры предосторожности. Многие случаи передозировки были связаны с применением препарата для лечения пациентов с нарушением функции почек и пациентов пожилого возраста, которым соответственно не была снижена доза.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Лечение: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показано тщательное наблюдение на предмет выявления признаков токсического воздействия препарата. Гемодиализ значительно ускоряет выведение ацикловира и может считаться оптимальным способом лечения в случае симптоматической передозировки.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Форма выпуска и упаковка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10 таблеток в контурную ячейковую упаковку из фольги алюминиевой и пленки поливинилхлоридной/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поливинилиденхлоридной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1 контурной упаковке вместе с инструкцией по медицинскому применению на государственном и русском языках помещают в пачку картонную.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Условия хранения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Хранить при температуре не выше 30 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ym w:font="Symbol" w:char="F0B0"/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С.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Хранить в недоступном для детей месте!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 хранения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 года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Не применять по истечении срока годности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Условия отпуска из аптек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рецепту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val="en-US"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Производитель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Teva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 xml:space="preserve"> Pharmaceutical Works Private Limited Company, </w:t>
      </w: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Венгрия</w:t>
      </w:r>
    </w:p>
    <w:p w:rsidR="00DF4D3B" w:rsidRPr="00DF4D3B" w:rsidRDefault="00DF4D3B" w:rsidP="00DF4D3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lastRenderedPageBreak/>
        <w:t>Владелец регистрационного удостоверения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Teva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Pharmaceutical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Industries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Ltd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Израиль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Адрес организации, принимающей на территории Республики Казахстан претензии от потребителей по качеству продукции (товара):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ТОО «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ратиофарм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Казахстан»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050040 Республика Казахстан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.А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лматы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проспект Аль-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Фараби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19,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Бизнес-центр 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Нурлы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Тау 1</w:t>
      </w:r>
      <w:proofErr w:type="gram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</w:t>
      </w:r>
      <w:proofErr w:type="gram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оф. 603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Телефон, факс (727) 311-09-15; 311-07-34</w:t>
      </w:r>
    </w:p>
    <w:p w:rsidR="00DF4D3B" w:rsidRPr="00DF4D3B" w:rsidRDefault="00DF4D3B" w:rsidP="00DF4D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E-</w:t>
      </w:r>
      <w:proofErr w:type="spellStart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DF4D3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teva@teva.co.il</w:t>
      </w:r>
    </w:p>
    <w:p w:rsidR="009D2996" w:rsidRPr="00A617B1" w:rsidRDefault="009D2996" w:rsidP="00142CBE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7C" w:rsidRDefault="002D347C" w:rsidP="009D2996">
      <w:pPr>
        <w:spacing w:after="0" w:line="240" w:lineRule="auto"/>
      </w:pPr>
      <w:r>
        <w:separator/>
      </w:r>
    </w:p>
  </w:endnote>
  <w:endnote w:type="continuationSeparator" w:id="0">
    <w:p w:rsidR="002D347C" w:rsidRDefault="002D347C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7C" w:rsidRDefault="002D347C" w:rsidP="009D2996">
      <w:pPr>
        <w:spacing w:after="0" w:line="240" w:lineRule="auto"/>
      </w:pPr>
      <w:r>
        <w:separator/>
      </w:r>
    </w:p>
  </w:footnote>
  <w:footnote w:type="continuationSeparator" w:id="0">
    <w:p w:rsidR="002D347C" w:rsidRDefault="002D347C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2B3"/>
    <w:multiLevelType w:val="multilevel"/>
    <w:tmpl w:val="8D0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2BB5"/>
    <w:multiLevelType w:val="multilevel"/>
    <w:tmpl w:val="F8E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490B"/>
    <w:multiLevelType w:val="multilevel"/>
    <w:tmpl w:val="F27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68AD"/>
    <w:multiLevelType w:val="multilevel"/>
    <w:tmpl w:val="28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7"/>
  </w:num>
  <w:num w:numId="11">
    <w:abstractNumId w:val="17"/>
  </w:num>
  <w:num w:numId="12">
    <w:abstractNumId w:val="2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31679"/>
    <w:rsid w:val="00135204"/>
    <w:rsid w:val="00142CBE"/>
    <w:rsid w:val="00152287"/>
    <w:rsid w:val="00157D3A"/>
    <w:rsid w:val="001A0AF1"/>
    <w:rsid w:val="00243F5A"/>
    <w:rsid w:val="0028773A"/>
    <w:rsid w:val="002C0D14"/>
    <w:rsid w:val="002D0FD1"/>
    <w:rsid w:val="002D347C"/>
    <w:rsid w:val="002E1F45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41E5F"/>
    <w:rsid w:val="00861736"/>
    <w:rsid w:val="008C3C0F"/>
    <w:rsid w:val="00913800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64C52"/>
    <w:rsid w:val="00D73010"/>
    <w:rsid w:val="00DB66E3"/>
    <w:rsid w:val="00DF4D3B"/>
    <w:rsid w:val="00E50256"/>
    <w:rsid w:val="00E60FDF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2020-06-08T10:09:00Z</cp:lastPrinted>
  <dcterms:created xsi:type="dcterms:W3CDTF">2020-06-08T10:14:00Z</dcterms:created>
  <dcterms:modified xsi:type="dcterms:W3CDTF">2020-06-08T10:14:00Z</dcterms:modified>
</cp:coreProperties>
</file>