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Pr="002C0D14" w:rsidRDefault="002C0D14" w:rsidP="00B518B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Номидес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bookmarkStart w:id="0" w:name="_GoBack"/>
      <w:bookmarkEnd w:id="0"/>
      <w:r w:rsidR="009D2996" w:rsidRPr="002C0D14">
        <w:rPr>
          <w:rFonts w:asciiTheme="minorHAnsi" w:hAnsiTheme="minorHAnsi" w:cstheme="minorHAnsi"/>
          <w:color w:val="auto"/>
        </w:rPr>
        <w:t>- инструкция по применению</w:t>
      </w:r>
    </w:p>
    <w:p w:rsidR="009D2996" w:rsidRPr="002C0D14" w:rsidRDefault="009D2996" w:rsidP="00B518B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2C0D14" w:rsidRPr="002C0D14" w:rsidRDefault="002C0D14" w:rsidP="002C0D14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Регистрационный номер:</w:t>
      </w:r>
    </w:p>
    <w:p w:rsidR="002C0D14" w:rsidRPr="002C0D14" w:rsidRDefault="002C0D14" w:rsidP="002C0D1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ЛП-003504</w:t>
      </w:r>
    </w:p>
    <w:p w:rsidR="002C0D14" w:rsidRPr="002C0D14" w:rsidRDefault="002C0D14" w:rsidP="002C0D14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Торговое наименование препарата:</w:t>
      </w:r>
    </w:p>
    <w:p w:rsidR="002C0D14" w:rsidRPr="002C0D14" w:rsidRDefault="002C0D14" w:rsidP="002C0D1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Номидес</w:t>
      </w:r>
      <w:proofErr w:type="spellEnd"/>
    </w:p>
    <w:p w:rsidR="002C0D14" w:rsidRPr="002C0D14" w:rsidRDefault="002C0D14" w:rsidP="002C0D14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Международное непатентованное наименование:</w:t>
      </w:r>
    </w:p>
    <w:p w:rsidR="002C0D14" w:rsidRPr="002C0D14" w:rsidRDefault="002C0D14" w:rsidP="002C0D1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Oseltamivir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2C0D14" w:rsidRPr="002C0D14" w:rsidRDefault="002C0D14" w:rsidP="002C0D14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Лекарственная форма:</w:t>
      </w:r>
    </w:p>
    <w:p w:rsidR="002C0D14" w:rsidRPr="002C0D14" w:rsidRDefault="002C0D14" w:rsidP="002C0D1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капсулы.</w:t>
      </w:r>
    </w:p>
    <w:p w:rsidR="002C0D14" w:rsidRPr="002C0D14" w:rsidRDefault="002C0D14" w:rsidP="002C0D14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Состав: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активное вещество:</w:t>
      </w:r>
    </w:p>
    <w:tbl>
      <w:tblPr>
        <w:tblW w:w="11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885"/>
        <w:gridCol w:w="1885"/>
        <w:gridCol w:w="1885"/>
      </w:tblGrid>
      <w:tr w:rsidR="002C0D14" w:rsidRPr="002C0D14" w:rsidTr="002C0D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Осельтамивира</w:t>
            </w:r>
            <w:proofErr w:type="spellEnd"/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 xml:space="preserve"> фосфата: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39,40 мг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59,10 мг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98,50 мг</w:t>
            </w:r>
          </w:p>
        </w:tc>
      </w:tr>
      <w:tr w:rsidR="002C0D14" w:rsidRPr="002C0D14" w:rsidTr="002C0D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что соответствует содержанию</w:t>
            </w: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Осельтамивира</w:t>
            </w:r>
            <w:proofErr w:type="spellEnd"/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br/>
              <w:t>30,00 мг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br/>
              <w:t>45,00 мг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br/>
              <w:t>75,00 мг</w:t>
            </w:r>
          </w:p>
        </w:tc>
      </w:tr>
    </w:tbl>
    <w:p w:rsidR="002C0D14" w:rsidRPr="002C0D14" w:rsidRDefault="002C0D14" w:rsidP="002C0D1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вспомогательные вещества</w:t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: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Кремния диоксид коллоидный (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аэросил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) - 6,00 мг/9,00 мг/15,00 мг;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коповидон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-3,60 мг/5,40 мг/9,00 мг; крахмал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прежелатинизированный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- 65,60 мг/98,40 мг/164,00 мг;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кроскармеллоза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натрия - 1,840 мг/2,760 мг/4,60 мг; натрия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стеарилфумарат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-0,920 мг/1,380 мг/2,30 мг; тальк - 2,640 мг/3,960 мг/6,60 мг.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Состав твердых желатиновых капсул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: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gram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Для дозировки 30мг: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корпус капсулы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: вода очищенная - 14-15 мг, натрия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лаурилсульфат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- 0,12 мг, титана диоксид - 2,0500 мг, желатин - до 100 мг;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крышечка капсулы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: вода очищенная - 14-15 мг, натрия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лаурилсульфат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- 0,12 мг, титана диоксид - 2,0500 мг, желатин - до 100 мг.</w:t>
      </w:r>
      <w:proofErr w:type="gramEnd"/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gram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Для дозировки 45 мг: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корпус капсулы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: вода очищенная - 14-15 мг, натрия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лаурилсульфат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- 0,08 мг, титана диоксид - 0,97524 мг, краситель бриллиантовый голубой - 0,2626 мг, желатин - до 100 мг;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крышечка капсулы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: вода очищенная - 14-15 мг, натрия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лаурилсульфат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- 0,08 мг, титана диоксид - 0,97524 мг, краситель бриллиантовый голубой - 0,2626 мг, желатин - до 100 мг.</w:t>
      </w:r>
      <w:proofErr w:type="gramEnd"/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gram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lastRenderedPageBreak/>
        <w:t>Для дозировки 75 мг: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корпус капсулы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: вода очищенная - 14-15 мг, натрия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лаурилсульфат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- 0,12 мг, титана диоксид - 1,50038 мг, желатин - до 100 мг;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крышечка капсулы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: вода очищенная - 14-15 мг, натрия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лаурилсульфат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- 0,12 мг, титана диоксид - 1,50038 мг; краситель солнечный закат желтый Е 110 - 1,2753 мг, краситель пунцовый [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Понсо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4R] Е 124 - 0,2401 мг, желатин - до 100 мг.</w:t>
      </w:r>
      <w:proofErr w:type="gramEnd"/>
    </w:p>
    <w:p w:rsidR="002C0D14" w:rsidRPr="002C0D14" w:rsidRDefault="002C0D14" w:rsidP="002C0D14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Описание:</w:t>
      </w:r>
    </w:p>
    <w:p w:rsidR="002C0D14" w:rsidRPr="002C0D14" w:rsidRDefault="002C0D14" w:rsidP="002C0D1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Для дозировки 30 мг: твердые желатиновые капсулы № «3», корпус белого цвета, крышечка белого цвета.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Для дозировки 45 мг: твердые желатиновые капсулы № «2», корпус голубого цвета, крышечка голубого цвета.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Для дозировки 75 мг: твердые желатиновые капсулы № «1», корпус белого цвета, крышечка оранжевого.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Содержимое капсул - белый или белый с желтоватым оттенком порошок.</w:t>
      </w:r>
    </w:p>
    <w:p w:rsidR="002C0D14" w:rsidRPr="002C0D14" w:rsidRDefault="002C0D14" w:rsidP="002C0D14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Фармакотерапевтическая группа:</w:t>
      </w:r>
    </w:p>
    <w:p w:rsidR="002C0D14" w:rsidRPr="002C0D14" w:rsidRDefault="002C0D14" w:rsidP="002C0D1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противовирусное средство.</w:t>
      </w:r>
    </w:p>
    <w:p w:rsidR="002C0D14" w:rsidRPr="002C0D14" w:rsidRDefault="002C0D14" w:rsidP="002C0D14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Код АТХ:</w:t>
      </w:r>
    </w:p>
    <w:p w:rsidR="002C0D14" w:rsidRPr="002C0D14" w:rsidRDefault="002C0D14" w:rsidP="002C0D1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J05AH02.</w:t>
      </w:r>
    </w:p>
    <w:p w:rsidR="002C0D14" w:rsidRPr="002C0D14" w:rsidRDefault="002C0D14" w:rsidP="002C0D14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Фармакологические свойства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r w:rsidRPr="002C0D14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ru-RU"/>
        </w:rPr>
        <w:t>Фармакодинамика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Противовирусный препарат,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фосфат является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пролекарством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, его активный метаболит (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карбоксилат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, ОК) - эффективный и селективный ингибитор нейраминидазы вирусов гриппа типа</w:t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 В - фермента, катализирующего процесс высвобождения вновь образованных вирусных частиц из инфицированных клеток, их проникновение в клетки эпителия дыхательных путей и дальнейшего распространения вируса в организме. Тормозит рост вируса гриппа </w:t>
      </w:r>
      <w:proofErr w:type="spell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in</w:t>
      </w:r>
      <w:proofErr w:type="spellEnd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vitro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 и подавляет репликацию вируса и его патогенность </w:t>
      </w:r>
      <w:proofErr w:type="spell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in</w:t>
      </w:r>
      <w:proofErr w:type="spellEnd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vivo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, уменьшает выделение вирусов гриппа</w:t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 В из организма.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Исследования клинических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изолятов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вируса гриппа показали, что концентрация ОК, необходимая для ингибирования нейраминидазы на 50 % (IC50), составляет 0,1-1,3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нМ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для вируса гриппа</w:t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 2,6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нМ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для вируса гриппа В. Согласно данным опубликованных исследований медиана значение IC50 для вируса гриппа В несколько выше и составляет 8,5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нМ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ru-RU"/>
        </w:rPr>
        <w:t>Резистентность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Клинические исследования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Риск появления вирусов гриппа со сниженной чувствительностью или резистентностью к препарату изучался в клинических исследованиях. У всех 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пациентов-носителей ОК-резистентного вируса носительство имело временный характер, не влияло на элиминацию вируса и не вызывало ухудшения клинического состояния.</w:t>
      </w:r>
    </w:p>
    <w:tbl>
      <w:tblPr>
        <w:tblW w:w="11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9"/>
        <w:gridCol w:w="3564"/>
        <w:gridCol w:w="4727"/>
      </w:tblGrid>
      <w:tr w:rsidR="002C0D14" w:rsidRPr="002C0D14" w:rsidTr="002C0D1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>Популяция пациентов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>Пациенты с мутациями, приводящими к резистентности</w:t>
            </w:r>
          </w:p>
        </w:tc>
      </w:tr>
      <w:tr w:rsidR="002C0D14" w:rsidRPr="002C0D14" w:rsidTr="002C0D1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C0D14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>Фенотипирование</w:t>
            </w:r>
            <w:proofErr w:type="spellEnd"/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C0D14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>Гено</w:t>
            </w:r>
            <w:proofErr w:type="spellEnd"/>
            <w:r w:rsidRPr="002C0D14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 xml:space="preserve">-и </w:t>
            </w:r>
            <w:proofErr w:type="spellStart"/>
            <w:r w:rsidRPr="002C0D14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>фенотипирование</w:t>
            </w:r>
            <w:proofErr w:type="spellEnd"/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*</w:t>
            </w:r>
          </w:p>
        </w:tc>
      </w:tr>
      <w:tr w:rsidR="002C0D14" w:rsidRPr="002C0D14" w:rsidTr="002C0D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Взрослые и подростки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4/1245 (0,32 %)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5/1245 (0,4 %)</w:t>
            </w:r>
          </w:p>
        </w:tc>
      </w:tr>
      <w:tr w:rsidR="002C0D14" w:rsidRPr="002C0D14" w:rsidTr="002C0D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Дети (1-12 лет)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19/464 (4,1 %)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25/464 (5,4 %)</w:t>
            </w:r>
          </w:p>
        </w:tc>
      </w:tr>
    </w:tbl>
    <w:p w:rsidR="002C0D14" w:rsidRPr="002C0D14" w:rsidRDefault="002C0D14" w:rsidP="002C0D1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* Полное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генотипирование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не было проведено ни в одном из исследований.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При приеме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с целью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постконтактной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профилактики (7 дней), профилактики контактировавших в семье (10 дней) и сезонной профилактики (42 дня) у лиц с нормальной функцией иммунной системы случаев резистентности к препарату не отмечено. В 12-недельном исследовании по сезонной профилактике у лиц с ослабленным иммунитетом случаев возникновения резистентности также не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наблюдалось</w:t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.</w:t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Д</w:t>
      </w:r>
      <w:proofErr w:type="gramEnd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анные</w:t>
      </w:r>
      <w:proofErr w:type="spellEnd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 отдельных клинических случаев и наблюдательных исследований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У пациентов, не получавших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, обнаружены возникающие в природных условиях мутации вирусов гриппа</w:t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 В, которые обладали сниженной чувствительностью к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осельтамивиру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. В 2008 году мутация по типу замены H275Y, приводящая к резистентности, была обнаружена более чем у 99 % штаммов вируса 2008 H1N1, циркулирующих в Европе. Вирус гриппа 2009 H1N1 («свиной грипп») в большинстве случаев был чувствителен к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осельтамивиру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. Устойчивые к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осельтамивиру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штаммы обнаружены у лиц с нормальной функцией иммунной системы и лиц с ослабленным иммунитетом, принимавших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. Степень снижения чувствительности к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осельтамивиру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 частота встречаемости подобных вирусов может отличаться в зависимости от сезона и региона. Устойчивость к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осельтамивиру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обнаружена у пациентов с пандемическим гриппом H1N1, получавших препарат как для лечения, гак и для профилактики.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Частота встречаемости резистентности может быть выше у более молодых пациентов и пациентов с ослабленным иммунитетом. Устойчивые к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осельтамивиру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лабораторные штаммы вирусов гриппа и вирусы гриппа от пациентов, получавших терапию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осельтамивиром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несут мутации нейраминидазы N1 и N2. Мутации, приводящие к устойчивости, часто являются специфическими для подтипа нейраминидазы. При принятии решения о применении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следует учитывать сезонную чувствительность вируса гриппа к препарату (последнюю информацию можно найти на сайте ВОЗ).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Доклинические данные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Доклинические данные, полученные на основании стандартных исследований по изучению фармакологической безопасности,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генотоксичности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 хронической токсичности, не выявили особой опасности для человека.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Канцерогенность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: результаты 3 исследований по выявлению канцерогенного потенциала (2-летних исследований на крысах и мышах для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 одного 6-месячного исследования на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трансгенных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мышах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Tg:AC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для активного метаболита) были отрицательными.</w:t>
      </w:r>
      <w:proofErr w:type="gramEnd"/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Мутагенность: стандартные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генотоксические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тесты для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 активного метаболита были отрицательными.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Влияние на фертильность: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 дозе 1500 мг/кг/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сут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не влиял на репродуктивную функцию самцов и самок крыс.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Тератогенность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: в исследованиях по изучению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тератогенности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 дозе до 1500 мг/кг/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сут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(на крысах) и до 500 мг/кг/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сут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(на кроликах) влияния на эмбриональное развитие не обнаружено. </w:t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 исследованиях по изучению антенатального и постнатального периодов развития у крыс при введении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 дозе 1500 мг/кг/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сут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наблюдалось увеличение периода родов: предел безопасности между экспозицией для человека и максимальной не оказывающей эффекта дозой у крыс (500 мг/кг/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сут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) для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выше в 480 раз, а для его активного метаболита - в 44 раза.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Экспозиция у плода I составляла 15-20 % от таковой у матери.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Прочее: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 активный метаболит проникают в молоко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лактирующих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крыс. Согласно ограниченным данным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 его активный метаболит проникают в грудное молоко человека. По результатам экстраполяции данных, полученных в исследованиях у животных, их количество в грудном молоке может составлять 0,01 мг/</w:t>
      </w:r>
      <w:proofErr w:type="spellStart"/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сут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0,3 мг/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сут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, соответственно.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Примерно у 50 % протестированных морских свинок при введении максимальных доз активной субстанции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наблюдалась сенсибилизация кожи в виде эритемы. Также выявлено обратимое раздражение глаз у кроликов.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В то время как очень высокие пероральные однократные дозы (657 мг/кг и выше)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фосфата не оказывали влияния на взрослых крыс, данные дозы оказывали токсическое действие на незрелых 7-дневных детенышей крыс, в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т.ч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. приводили к гибели животных. Нежелательных эффектов не наблюдалось при хроническом введении в дозе 500 мг/кг/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сут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 7 по 21 день постнатального периода.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r w:rsidRPr="002C0D14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ru-RU"/>
        </w:rPr>
        <w:t>Фармакокинетика</w:t>
      </w:r>
      <w:proofErr w:type="spellEnd"/>
      <w:r w:rsidRPr="002C0D14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Абсорбция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фосфат легко всасывается в желудочно-кишечном тракте и в высокой степени превращается в активный метаболит под действием </w:t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печеночных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 кишечных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эстераз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. Концентрация активного метаболита в плазме определяется в пределах 30 мин, время достижения максимальной концентрации 2-3 ч, и более чем в 20 раз превышают концентрацию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пролекарства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. Не менее 75 % принятой внутрь дозы попадает в </w:t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системный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кроваток в виде активного метаболита, менее 5 % - в виде исходного препарата. Плазменные концентрации как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пролекарства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, так и активного метаболита пропорциональны дозе и не зависят от приема пищи.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Распределение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Объем распределения (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Vss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) активного метаболита - 23 л.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По данным исследований, проведенных на животных, после приема внутрь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фосфата его активный метаболит обнаруживался во всех основных очагах инфекции (легких, промывных водах бронхов, слизистой оболочки полости носа, среднем ухе и трахее) в концентрациях, обеспечивающих противовирусный эффект.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Связь активного метаболита с белками плазмы - 3 %. Связь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пролекарства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 белками плазмы 42 %, что недостаточно, чтобы служить причиной существенных лекарственных взаимодействий.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Метаболизм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фосфат в высокой степени превращается в активный метаболит под действием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эстераз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</w:t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находящихся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преимущественно в печени. Ни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фосфат, ни активный метаболит не являются субстратами или ингибиторами изоферментов системы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цитохрома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Р450.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Выведение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Выводится (&gt;90 %) в виде активного метаболита преимущественно почками. Активный метаболит не подвергается дальнейшей трансформации и выводится почками (&gt;99 %) путем клубочковой фильтрации 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канальцевой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секреции. Почечный клиренс (18,8 л/ч) превышает скорость клубочковой фильтрации (7,5 л/ч), что указывает на то, что препарат выводится еще и путем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канальцевой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секреции. Через кишечник выводится менее 20 % приятного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препарата</w:t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.П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ериод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полувыведения активного метаболита 6-10 ч.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r w:rsidRPr="002C0D14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ru-RU"/>
        </w:rPr>
        <w:t>Фармакокинетика</w:t>
      </w:r>
      <w:proofErr w:type="spellEnd"/>
      <w:r w:rsidRPr="002C0D14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ru-RU"/>
        </w:rPr>
        <w:t xml:space="preserve"> в особых группах пациентов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Больные с поражением почек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При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применение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(100 мг два раза в сутки в течение 5 дней) у больных с различной степенью поражения почек площадь под кривой «концентрация активного метаболита в плазме - время» (AUC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карбоксилата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) обратно пропорциональна снижению функции почек.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Фармакокинетика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у пациентов с терминальной стадией почечной недостаточности (с клиренсом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креагинина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  <w:r w:rsidRPr="002C0D14">
        <w:rPr>
          <w:rFonts w:eastAsia="Times New Roman" w:cstheme="minorHAnsi"/>
          <w:color w:val="333333"/>
          <w:sz w:val="28"/>
          <w:szCs w:val="28"/>
          <w:u w:val="single"/>
          <w:lang w:eastAsia="ru-RU"/>
        </w:rPr>
        <w:t>&lt;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10 мл/мин), не находящихся на диализе, не изучалась. В связи с этим рекомендации по дозированию у данной группы пациентов отсутствуют.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Больные с поражением печени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Полученные </w:t>
      </w:r>
      <w:proofErr w:type="spell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in</w:t>
      </w:r>
      <w:proofErr w:type="spellEnd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vitro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 и в исследованиях на животных данные об отсутствии значительного повышения AUC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фосфата при нарушении функции печени легкой и средней степени тяжести были подтверждены и в клинических исследованиях. Безопасность 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фармакокинетика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фосфата у пациентов с тяжелым нарушением функции печени не изучалась.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Больные пожилого и старческого возраста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 xml:space="preserve">У больных пожилого и старческого возраста (65-78 лет) экспозиция метаболита в равновесном состоянии на 25-35 % выше, чем у более молодых пациентов при назначении аналогичных доз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. Период полувыведения препарата у больных пожилого и старческого возраста существенно не отличался от такового у более молодых пациентов. С учетом данных по экспозиции препарата и его переносимости больными пожилого и старческого возраста коррекции дозы при лечении и профилактике гриппа не требуется.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Дети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У детей младшего возраста выведение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пролекарства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 активного метаболита происходит быстрее, чем у взрослых, что приводит к более низким AUC по отношение к конкретной дозе.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Прием препарата в дозе 2 мг/кг обеспечивает </w:t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такую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же AUC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карбоксилата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какая достигается у взрослых после однократного приема капсулы с 75 мг препарата (что эквивалентно примерно 1 мг/кг).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Фармакокинетика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у детей старше 12 лет </w:t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такая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же, как у взрослых.</w:t>
      </w:r>
    </w:p>
    <w:p w:rsidR="002C0D14" w:rsidRPr="002C0D14" w:rsidRDefault="002C0D14" w:rsidP="002C0D14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Показания к применению</w:t>
      </w:r>
    </w:p>
    <w:p w:rsidR="002C0D14" w:rsidRPr="002C0D14" w:rsidRDefault="002C0D14" w:rsidP="002C0D1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Лечение гриппа у взрослых и детей в возрасте старше 3 лет.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Профилактика гриппа у взрослых и подростков в возрасте старше 12 лет, находящихся в группах повышенного риска инфицирования вирусом (в больших коллективах, у ослабленных больных).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Профилактика гриппа у детей старше 3 лет.</w:t>
      </w:r>
    </w:p>
    <w:p w:rsidR="002C0D14" w:rsidRPr="002C0D14" w:rsidRDefault="002C0D14" w:rsidP="002C0D14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Противопоказания</w:t>
      </w:r>
    </w:p>
    <w:p w:rsidR="002C0D14" w:rsidRPr="002C0D14" w:rsidRDefault="002C0D14" w:rsidP="002C0D1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Повышенная чувствительность к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фосфату или любому компоненту препарата, терминальная стадия почечной недостаточности (клиренс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креатинина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C0D14">
        <w:rPr>
          <w:rFonts w:eastAsia="Times New Roman" w:cstheme="minorHAnsi"/>
          <w:color w:val="333333"/>
          <w:sz w:val="28"/>
          <w:szCs w:val="28"/>
          <w:u w:val="single"/>
          <w:lang w:eastAsia="ru-RU"/>
        </w:rPr>
        <w:t>&lt;</w:t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10 мл/мин), тяжелая печеночная недостаточность, детский возраст до 3 лет.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С осторожностью: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Беременность, период грудного вскармливания.</w:t>
      </w:r>
    </w:p>
    <w:p w:rsidR="002C0D14" w:rsidRPr="002C0D14" w:rsidRDefault="002C0D14" w:rsidP="002C0D14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Применение при беременности и в период грудного вскармливания</w:t>
      </w:r>
    </w:p>
    <w:p w:rsidR="002C0D14" w:rsidRPr="002C0D14" w:rsidRDefault="002C0D14" w:rsidP="002C0D1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Контролируемых исследований у беременных женщин не проводилось. Однако результаты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постмаркетинговых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и наблюдательных исследований продемонстрировали пользу предлагаемого стандартного режима дозирования для данной популяции пациентов. Результаты фармакокинетического анализа показали более низкую экспозицию активного метаболита (приблизительно на 30 % в течение всех триместров беременности) у беременных женщин по сравнению с не беременными. Тем не менее, значение расчетной экспозиции остается выше ингибирующих концентраций (значение IC95) и терапевтических значений для многих штаммов вируса гриппа. Изменение режима дозирования у беременных женщин при проведении терапии или профилактики не рекомендуется. Не обнаружено прямого или опосредованного неблагоприятного влияния препарата на беременность,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эмбрио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-фетальное или постнатальное развитие (см. «Доклинические данные»). При </w:t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назначении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беременным женщинам следует учитывать как данные по безопасности, так и течение </w:t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беременности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и патогенность циркулирующего штамма вируса гриппа.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Во время доклинических исследований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и активный метаболит проникали в молоко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лактирующих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крыс. Данные по экскреции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с грудным молоком у человека и применению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кормящими женщинами ограничены.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и его активный метаболит в небольших количествах проникают в грудное молоко (см. «Доклинические данные»), создавая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субтерапевтические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концентрации в крови грудного ребенка. При назначении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кормящим женщинам следует также учитывать сопутствующее заболевание и патогенность циркулирующего штамма вируса гриппа.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При беременности и в период грудного вскармливания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применяют только в случае, если предполагаемая польза для матери превышает потенциальный риск для плода и ребенка.</w:t>
      </w:r>
    </w:p>
    <w:p w:rsidR="002C0D14" w:rsidRPr="002C0D14" w:rsidRDefault="002C0D14" w:rsidP="002C0D14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Способ применения и дозы</w:t>
      </w:r>
    </w:p>
    <w:p w:rsidR="002C0D14" w:rsidRPr="002C0D14" w:rsidRDefault="002C0D14" w:rsidP="002C0D1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Препарат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принимается внутрь, независимо от приема пищи или во время еды.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u w:val="single"/>
          <w:lang w:eastAsia="ru-RU"/>
        </w:rPr>
        <w:t>Лечение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Прием препарата необходимо начинать не позднее 2 суток с момента развития симптомов заболевания.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Взрослые и подростки в возрасте </w:t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u w:val="single"/>
          <w:lang w:eastAsia="ru-RU"/>
        </w:rPr>
        <w:t>&gt;</w:t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12 лет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Рекомендуемая суточная доза составляет 150 мг. Препарат назначают в дозе 75 мг (одна капсула 75 мг или одна капсула 30 мг + одна капсула 45 мг) 2 раза в сутки внутрь в течение 5 дней.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Дети с массой тела более 40 кг или в возрасте </w:t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u w:val="single"/>
          <w:lang w:eastAsia="ru-RU"/>
        </w:rPr>
        <w:t>&gt;</w:t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8 лет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Дети, которые умеют проглатывать капсулы, также могут получать лечение, принимая по 75 мг (одна капсула 75 мг или одна капсула 30 мг + одна капсула 45 мг) 2 раза в сутки в течение 5 дней.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Дети в возрасте </w:t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u w:val="single"/>
          <w:lang w:eastAsia="ru-RU"/>
        </w:rPr>
        <w:t>&gt;</w:t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3 лет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Рекомендованный режим дозирования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капсулы 30 и 45 мг.</w:t>
      </w:r>
    </w:p>
    <w:tbl>
      <w:tblPr>
        <w:tblW w:w="11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9"/>
        <w:gridCol w:w="8971"/>
      </w:tblGrid>
      <w:tr w:rsidR="002C0D14" w:rsidRPr="002C0D14" w:rsidTr="002C0D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>Масса тела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>Рекомендованная доза в течение 5 дней</w:t>
            </w:r>
          </w:p>
        </w:tc>
      </w:tr>
      <w:tr w:rsidR="002C0D14" w:rsidRPr="002C0D14" w:rsidTr="002C0D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u w:val="single"/>
                <w:lang w:eastAsia="ru-RU"/>
              </w:rPr>
              <w:t>&lt;</w:t>
            </w: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15 кг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30 мг два раза в сутки</w:t>
            </w:r>
          </w:p>
        </w:tc>
      </w:tr>
      <w:tr w:rsidR="002C0D14" w:rsidRPr="002C0D14" w:rsidTr="002C0D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&gt;15-23 кг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45 мг два раза в сутки</w:t>
            </w:r>
          </w:p>
        </w:tc>
      </w:tr>
      <w:tr w:rsidR="002C0D14" w:rsidRPr="002C0D14" w:rsidTr="002C0D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&gt;23-40 кг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60 мг два раза в сутки</w:t>
            </w:r>
          </w:p>
        </w:tc>
      </w:tr>
    </w:tbl>
    <w:p w:rsidR="002C0D14" w:rsidRPr="002C0D14" w:rsidRDefault="002C0D14" w:rsidP="002C0D1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C0D14">
        <w:rPr>
          <w:rFonts w:eastAsia="Times New Roman" w:cstheme="minorHAnsi"/>
          <w:i/>
          <w:iCs/>
          <w:color w:val="333333"/>
          <w:sz w:val="28"/>
          <w:szCs w:val="28"/>
          <w:u w:val="single"/>
          <w:lang w:eastAsia="ru-RU"/>
        </w:rPr>
        <w:t>Профилактика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Прием препарата необходимо начинать не позднее 2 суток после контакта с 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больными.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Взрослые и подростки в возрасте </w:t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u w:val="single"/>
          <w:lang w:eastAsia="ru-RU"/>
        </w:rPr>
        <w:t>&gt;</w:t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12 лет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По 75 мг (одна капсула 75 мг или одна капсула 30 мг + одна капсула 45 мг) 1 раз в сутки внутрь в течение не менее 10 дней после контакта с больным. Во время сезонной эпидемии гриппа - по 75 мг 1 раз в сутки в течение 6 недель. Профилактическое действие продолжается столько, сколько длится прием препарата.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Дети с массой тела более 40 кг или в возрасте </w:t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u w:val="single"/>
          <w:lang w:eastAsia="ru-RU"/>
        </w:rPr>
        <w:t>&gt;</w:t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8 лет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Дети, которые могут проглатывать капсулы, также могут получать профилактическую терапию, принимая по 75 мг (одна капсула 75 мг или одна капсула 30 мг + одна капсула 45 мг) 1 раз в сутки в течение 10 дней.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Дети в возрасте </w:t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u w:val="single"/>
          <w:lang w:eastAsia="ru-RU"/>
        </w:rPr>
        <w:t>&gt;</w:t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3 лет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Рекомендованный режим дозирования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капсулы 30 и 45 мг.</w:t>
      </w:r>
    </w:p>
    <w:tbl>
      <w:tblPr>
        <w:tblW w:w="11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  <w:gridCol w:w="9027"/>
      </w:tblGrid>
      <w:tr w:rsidR="002C0D14" w:rsidRPr="002C0D14" w:rsidTr="002C0D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>Масса тела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>Рекомендованная доза в течение 10 дней</w:t>
            </w:r>
          </w:p>
        </w:tc>
      </w:tr>
      <w:tr w:rsidR="002C0D14" w:rsidRPr="002C0D14" w:rsidTr="002C0D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u w:val="single"/>
                <w:lang w:eastAsia="ru-RU"/>
              </w:rPr>
              <w:t>&lt;</w:t>
            </w: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15 кг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30 мг 1 раз в сутки</w:t>
            </w:r>
          </w:p>
        </w:tc>
      </w:tr>
      <w:tr w:rsidR="002C0D14" w:rsidRPr="002C0D14" w:rsidTr="002C0D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&gt;15-23 кг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45 мг 1 раз в сутки</w:t>
            </w:r>
          </w:p>
        </w:tc>
      </w:tr>
      <w:tr w:rsidR="002C0D14" w:rsidRPr="002C0D14" w:rsidTr="002C0D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&gt;23-40 кг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60 мг 1 раз в сутки</w:t>
            </w:r>
          </w:p>
        </w:tc>
      </w:tr>
    </w:tbl>
    <w:p w:rsidR="002C0D14" w:rsidRPr="002C0D14" w:rsidRDefault="002C0D14" w:rsidP="002C0D1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C0D14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ru-RU"/>
        </w:rPr>
        <w:t>Дозирование в особых случаях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Пациенты с нарушением функции почек: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i/>
          <w:iCs/>
          <w:color w:val="333333"/>
          <w:sz w:val="28"/>
          <w:szCs w:val="28"/>
          <w:u w:val="single"/>
          <w:lang w:eastAsia="ru-RU"/>
        </w:rPr>
        <w:t>Лечение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Больным с клиренсом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креатинина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более 60 мл/мин коррекции дозы не требуется. У больных с клиренсом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креатинина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от 30 до 60 мл/мин дозу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следует уменьшить до 30 мг два раза в сутки в течение 5 дней.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У больных с клиренсом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креатинина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от 10 до 30 мл/мин дозу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следует уменьшить до 30 мг один раз в сутки в течение 5 дней. Пациентам, находящимся на постоянном гемодиализе,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 первоначальной дозе 30 мг можно принять до начала диализа, если симптомы гриппа появились в течение 48 ч между сеансами диализа. Для поддержания плазменной концентрации на терапевтическом уровне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следует принимать по 30 мг после каждого сеанса диализа. Пациентам, находящимся на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перитонеальном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диализе,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следует принимать в первоначальной дозе 30 мг до начала проведения диализа, затем по 30 мг каждые 5 дней.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Фармакокинетика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у пациентов с терминальной стадией хронической почечной недостаточности (с клиренсом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креатинина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  <w:r w:rsidRPr="002C0D14">
        <w:rPr>
          <w:rFonts w:eastAsia="Times New Roman" w:cstheme="minorHAnsi"/>
          <w:color w:val="333333"/>
          <w:sz w:val="28"/>
          <w:szCs w:val="28"/>
          <w:u w:val="single"/>
          <w:lang w:eastAsia="ru-RU"/>
        </w:rPr>
        <w:t>&lt;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10 мл/мин), не находящихся на диализе, не изучалась. В связи с этим рекомендации по дозированию у данной группы пациентов отсутствуют.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u w:val="single"/>
          <w:lang w:eastAsia="ru-RU"/>
        </w:rPr>
        <w:t>Профилактика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 xml:space="preserve">Больным с клиренсом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креатинина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более 60 мл/мин коррекции дозы не требуется. У больных с клиренсом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креатинина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от 30 до 60 мл/мин дозу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следует уменьшить до 30 мг один раз в сутки. У больных с клиренсом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креатинина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от 10 до 30 мл/мин рекомендуется уменьшить дозу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до 30 мг через день. Пациентам, находящимся на постоянном гемодиализе,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 первоначальной дозе 30 мг можно принять до начала диализа. Для поддержания плазменной концентрации на терапевтическом уровне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следует принимать по 30 мг после каждого последующего нечетного сеанса диализа. Пациентам, находящимся на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перитонеальном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диализе,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следует принимать в первоначальной дозе 30 мг до начала проведения диализа, затем по 30 мг каждые 7 дней.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Фармакокинетика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у пациентов с терминальной стадией хронической почечной недостаточности (с клиренсом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креатинина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менее 10 мл/мин), не находящихся на диализе, не изучалась. В связи с этим рекомендации по дозированию у данной группы пациентов отсутствуют.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Пациенты с нарушением функции печени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Коррекции дозы при лечении и профилактике гриппа у пациентов с нарушением функции печени легкой и средней степени тяжести не требуется. Безопасность 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фармакокинетика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у пациентов с тяжелыми нарушениями функции печени не изучалась. Больные пожилого и старческого возраста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>Коррекции дозы для профилактики или лечения гриппа не требуется.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Больные с ослабленным иммунитетом (после трансплантации)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Для сезонной профилактики гриппа у больных с ослабленным иммунитетом в возрасте </w:t>
      </w:r>
      <w:r w:rsidRPr="002C0D14">
        <w:rPr>
          <w:rFonts w:eastAsia="Times New Roman" w:cstheme="minorHAnsi"/>
          <w:color w:val="333333"/>
          <w:sz w:val="28"/>
          <w:szCs w:val="28"/>
          <w:u w:val="single"/>
          <w:lang w:eastAsia="ru-RU"/>
        </w:rPr>
        <w:t>&gt;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3 лет - в течение 12 недель, коррекции дозы не требуется.</w:t>
      </w:r>
    </w:p>
    <w:p w:rsidR="002C0D14" w:rsidRPr="002C0D14" w:rsidRDefault="002C0D14" w:rsidP="002C0D14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Побочное действие</w:t>
      </w:r>
    </w:p>
    <w:p w:rsidR="002C0D14" w:rsidRPr="002C0D14" w:rsidRDefault="002C0D14" w:rsidP="002C0D1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В исследованиях по лечению гриппа у взрослых/пациентов подросткового возраста самыми частыми нежелательными реакциями (HP) были тошнота, рвота и головная боль. Большинство HP возникали в первый или второй день лечения и проходили самостоятельно в течение 1-2 дней. В исследованиях по профилактике гриппа у взрослых и подростков самыми частыми HP были тошнота, рвота, головная боль и боль. У детей наиболее часто встречалась рвота. Описанные HP в большинстве случаев не требовали отмены препарата.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ru-RU"/>
        </w:rPr>
        <w:t>Лечение и профилактика гриппа у взрослых и подростков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В таблице 1 представлены HP, возникавшие наиболее часто (</w:t>
      </w:r>
      <w:r w:rsidRPr="002C0D14">
        <w:rPr>
          <w:rFonts w:eastAsia="Times New Roman" w:cstheme="minorHAnsi"/>
          <w:color w:val="333333"/>
          <w:sz w:val="28"/>
          <w:szCs w:val="28"/>
          <w:u w:val="single"/>
          <w:lang w:eastAsia="ru-RU"/>
        </w:rPr>
        <w:t>&gt;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1 %) при приеме рекомендованной дозы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 исследованиях по профилактике и лечению гриппа у взрослых и подростков (75 мг 2 раза в сутки в течение 5 дней для лечения и 75 мг 1 раз в сутки до 6 недель для профилактики), и частота которых как минимум на 1% выше по сравнению с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плацебо. В исследования по лечению гриппа вошли взрослые/подростки без сопутствующей патологии и больные группы риска, т.е. пациенты с высоким риском развития осложнений гриппа (пациенты пожилого и старческого возраста, пациенты с хроническими заболеваниями сердца или органов дыхания). В целом профиль безопасности у пациентов группы риска соответствовал таковому у взрослых/пациентов подросткового возраста без сопутствующей 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патологии.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>В исследованиях по профилактике гриппа профиль безопасности у пациентов, получавших рекомендованную дозу препарата (75 мг 1 раз в сутки до 6 недель), не отличался от такового в исследованиях по лечению гриппа, несмотря на более длительный прием препарата.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Таблица 1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. </w:t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Процент взрослых/подростков с HP, возникавшими с частотой </w:t>
      </w:r>
      <w:r w:rsidRPr="002C0D14">
        <w:rPr>
          <w:rFonts w:eastAsia="Times New Roman" w:cstheme="minorHAnsi"/>
          <w:color w:val="333333"/>
          <w:sz w:val="28"/>
          <w:szCs w:val="28"/>
          <w:u w:val="single"/>
          <w:lang w:eastAsia="ru-RU"/>
        </w:rPr>
        <w:t>&gt;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1% в группе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 исследованиях по лечению и профилактике гриппозной инфекции (различие с плацебо </w:t>
      </w:r>
      <w:r w:rsidRPr="002C0D14">
        <w:rPr>
          <w:rFonts w:eastAsia="Times New Roman" w:cstheme="minorHAnsi"/>
          <w:color w:val="333333"/>
          <w:sz w:val="28"/>
          <w:szCs w:val="28"/>
          <w:u w:val="single"/>
          <w:lang w:eastAsia="ru-RU"/>
        </w:rPr>
        <w:t>&gt;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1 %).</w:t>
      </w:r>
      <w:proofErr w:type="gramEnd"/>
    </w:p>
    <w:tbl>
      <w:tblPr>
        <w:tblW w:w="11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1"/>
        <w:gridCol w:w="2149"/>
        <w:gridCol w:w="1279"/>
        <w:gridCol w:w="2079"/>
        <w:gridCol w:w="1279"/>
        <w:gridCol w:w="2093"/>
      </w:tblGrid>
      <w:tr w:rsidR="002C0D14" w:rsidRPr="002C0D14" w:rsidTr="002C0D1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>Системно-органный класс</w:t>
            </w:r>
            <w:r w:rsidRPr="002C0D14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br/>
              <w:t>Нежелательная реакция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>Лечение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>Категория частоты</w:t>
            </w: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*</w:t>
            </w:r>
          </w:p>
        </w:tc>
      </w:tr>
      <w:tr w:rsidR="002C0D14" w:rsidRPr="002C0D14" w:rsidTr="002C0D1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Осельтамивир</w:t>
            </w:r>
            <w:proofErr w:type="spellEnd"/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br/>
              <w:t>(75 мг 2 раза/</w:t>
            </w:r>
            <w:proofErr w:type="spellStart"/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сут</w:t>
            </w:r>
            <w:proofErr w:type="spellEnd"/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)</w:t>
            </w: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br/>
              <w:t>N=2647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Плацебо</w:t>
            </w: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br/>
              <w:t>N=1977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Осельтамивир</w:t>
            </w:r>
            <w:proofErr w:type="spellEnd"/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br/>
              <w:t>(75 мг 1 раз/</w:t>
            </w:r>
            <w:proofErr w:type="spellStart"/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сут</w:t>
            </w:r>
            <w:proofErr w:type="spellEnd"/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)</w:t>
            </w: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br/>
              <w:t>N=1945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Плацебо</w:t>
            </w: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br/>
              <w:t>N=1588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</w:p>
        </w:tc>
      </w:tr>
      <w:tr w:rsidR="002C0D14" w:rsidRPr="002C0D14" w:rsidTr="002C0D14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Нарушения со стороны желудочно-кишечного тракта</w:t>
            </w:r>
          </w:p>
        </w:tc>
      </w:tr>
      <w:tr w:rsidR="002C0D14" w:rsidRPr="002C0D14" w:rsidTr="002C0D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Тошнота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очень часто</w:t>
            </w:r>
          </w:p>
        </w:tc>
      </w:tr>
      <w:tr w:rsidR="002C0D14" w:rsidRPr="002C0D14" w:rsidTr="002C0D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Рвота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часто</w:t>
            </w:r>
          </w:p>
        </w:tc>
      </w:tr>
      <w:tr w:rsidR="002C0D14" w:rsidRPr="002C0D14" w:rsidTr="002C0D14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Нарушения со стороны нервной системы</w:t>
            </w:r>
          </w:p>
        </w:tc>
      </w:tr>
      <w:tr w:rsidR="002C0D14" w:rsidRPr="002C0D14" w:rsidTr="002C0D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Головная боль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16%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очень часто</w:t>
            </w:r>
          </w:p>
        </w:tc>
      </w:tr>
      <w:tr w:rsidR="002C0D14" w:rsidRPr="002C0D14" w:rsidTr="002C0D14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Общие расстройства</w:t>
            </w:r>
          </w:p>
        </w:tc>
      </w:tr>
      <w:tr w:rsidR="002C0D14" w:rsidRPr="002C0D14" w:rsidTr="002C0D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Боль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&lt;1%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&lt;1%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2C0D14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часто</w:t>
            </w:r>
          </w:p>
        </w:tc>
      </w:tr>
    </w:tbl>
    <w:p w:rsidR="002C0D14" w:rsidRPr="002C0D14" w:rsidRDefault="002C0D14" w:rsidP="002C0D1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vertAlign w:val="superscript"/>
          <w:lang w:eastAsia="ru-RU"/>
        </w:rPr>
        <w:t>*</w:t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Категория частоты представлена только для группы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. Для оценки частоты HP использованы следующие категории частоты: очень часто (</w:t>
      </w:r>
      <w:r w:rsidRPr="002C0D14">
        <w:rPr>
          <w:rFonts w:eastAsia="Times New Roman" w:cstheme="minorHAnsi"/>
          <w:color w:val="333333"/>
          <w:sz w:val="28"/>
          <w:szCs w:val="28"/>
          <w:u w:val="single"/>
          <w:lang w:eastAsia="ru-RU"/>
        </w:rPr>
        <w:t>&gt;</w:t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1/10); часто (</w:t>
      </w:r>
      <w:r w:rsidRPr="002C0D14">
        <w:rPr>
          <w:rFonts w:eastAsia="Times New Roman" w:cstheme="minorHAnsi"/>
          <w:color w:val="333333"/>
          <w:sz w:val="28"/>
          <w:szCs w:val="28"/>
          <w:u w:val="single"/>
          <w:lang w:eastAsia="ru-RU"/>
        </w:rPr>
        <w:t>&gt;</w:t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1/100, &lt;1/10).Далее представлены нежелательные явления, которые возникали с частотой </w:t>
      </w:r>
      <w:r w:rsidRPr="002C0D14">
        <w:rPr>
          <w:rFonts w:eastAsia="Times New Roman" w:cstheme="minorHAnsi"/>
          <w:color w:val="333333"/>
          <w:sz w:val="28"/>
          <w:szCs w:val="28"/>
          <w:u w:val="single"/>
          <w:lang w:eastAsia="ru-RU"/>
        </w:rPr>
        <w:t>&gt;</w:t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1% у взрослых и подростков, получавших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в качестве терапии и профилактики гриппозной инфекции. Данные нежелательные явления либо более часто наблюдались у пациентов, получавших плацебо, либо различия в частоте между группами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и плацебо составили менее 1%.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Нарушения со стороны желудочно-кишечного тракта (</w:t>
      </w:r>
      <w:proofErr w:type="spell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 против плацебо)</w:t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: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лечение - диарея (6% против 7%), боль в животе (включая боль в верхней части живота, 2% против 3%);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профилактика - диарея (3% против 4%), боль в верхней части живота (2 % против 2 %), диспепсия (1% против 1%).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Инфекции и инвазии (</w:t>
      </w:r>
      <w:proofErr w:type="spell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 против плацебо)</w:t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: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lastRenderedPageBreak/>
        <w:t>лечение - бронхит (3% против 4%), синусит (1% против 1%), простой герпес (1% против 1%);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профилактика -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назофарингит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(4% против 4%), инфекции верхних дыхательных путей (3% против 3%), гриппозная инфекция (2% </w:t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против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3%).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Общие расстройства (</w:t>
      </w:r>
      <w:proofErr w:type="spell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 против плацебо):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лечение - головокружение (включая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вертиго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, 2% против 3%);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профилактика - усталость (7% против 7%),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пирексия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(2% против 2%), гриппоподобное заболевание (1% против 2%), головокружение (1% против 1%), боль в конечности (1% </w:t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против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1%).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Нарушения со стороны нервной системы (</w:t>
      </w:r>
      <w:proofErr w:type="spell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 против плацебо)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: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>лечение - бессонница (1% против 1%);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>профилактика-бессонница (1% против 1%).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Нарушения со стороны дыхательной системы, органов грудной клетки и средостения (</w:t>
      </w:r>
      <w:proofErr w:type="spell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 против плацебо)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: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>лечение - кашель (2% против 2%), заложенность носа (1% против 1%);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профилактика - заложенность носа (7% против 7%), ангина (5% против 5%), кашель (5% против 6%),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ринорея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(1% </w:t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против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1%).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Нарушения со стороны скелетно-мышечной и соединительной ткани (</w:t>
      </w:r>
      <w:proofErr w:type="spell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 против плацебо)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: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>профилактика - боль в спине (2% против 3%), артралгия (1% против 2%), миалгия (1% против 1%).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Нарушения со стороны половых органов и молочной железы (</w:t>
      </w:r>
      <w:proofErr w:type="spell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 против плацебо): 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профилактика - дисменорея (3% против 3%).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ru-RU"/>
        </w:rPr>
        <w:t>Лечение и профилактика гриппозной инфекции лиц пожилого и старческого возраста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Профиль безопасности у 942 пациентов пожилого и старческого возраста, получавших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или плацебо, клинически не отличался от такового у лиц более молодого возраста (до 65 лет).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ru-RU"/>
        </w:rPr>
        <w:t>Профилактика гриппозной инфекции у пациентов с ослабленным иммунитетом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 12-недельном исследовании по профилактике гриппа с участием 475 пациентов с ослабленным иммунитетом (включая 18 детей в возрасте от 1 до 12 лет), у пациентов, принимавших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(</w:t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= 238), профиль безопасности соответствовал описанному ранее в исследованиях по профилактике гриппа.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ru-RU"/>
        </w:rPr>
        <w:t>Лечение и профилактика гриппозной инфекции у детей без сопутствующих заболеваний в возрасте 1-12 лет и пациентов с бронхиальной астмой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 исследованиях по лечению естественной гриппозной инфекции у детей в возрасте от 1 года до 12 лет HP при применении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(n=858), отмеченной с частотой </w:t>
      </w:r>
      <w:r w:rsidRPr="002C0D14">
        <w:rPr>
          <w:rFonts w:eastAsia="Times New Roman" w:cstheme="minorHAnsi"/>
          <w:color w:val="333333"/>
          <w:sz w:val="28"/>
          <w:szCs w:val="28"/>
          <w:u w:val="single"/>
          <w:lang w:eastAsia="ru-RU"/>
        </w:rPr>
        <w:t>&gt;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1% и как минимум на 1% чаще по сравнению с плацебо (n=622), была рвота. У детей, получавших рекомендованную дозу препарата 1 раз в сутки в качестве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постконтактной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профилактики в домашних условиях, наиболее часто встречалась рвота (8% в группе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против 2% в группе, не получавшей профилактическое лечение).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хорошо переносился, зарегистрированные 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 xml:space="preserve">нежелательные явления соответствовали </w:t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описанным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ранее при проведении лечения гриппа у детей. Далее представлены нежелательные явления, отмеченные у детей с частотой </w:t>
      </w:r>
      <w:r w:rsidRPr="002C0D14">
        <w:rPr>
          <w:rFonts w:eastAsia="Times New Roman" w:cstheme="minorHAnsi"/>
          <w:color w:val="333333"/>
          <w:sz w:val="28"/>
          <w:szCs w:val="28"/>
          <w:u w:val="single"/>
          <w:lang w:eastAsia="ru-RU"/>
        </w:rPr>
        <w:t>&gt;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1 % в исследованиях по лечению гриппа (n=858) или с частотой </w:t>
      </w:r>
      <w:r w:rsidRPr="002C0D14">
        <w:rPr>
          <w:rFonts w:eastAsia="Times New Roman" w:cstheme="minorHAnsi"/>
          <w:color w:val="333333"/>
          <w:sz w:val="28"/>
          <w:szCs w:val="28"/>
          <w:u w:val="single"/>
          <w:lang w:eastAsia="ru-RU"/>
        </w:rPr>
        <w:t>&gt;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5 % в исследованиях по профилактике гриппа (n=148). Данные нежелательные явления более часто наблюдались в группе плацебо/отсутствие профилактики, различия между группами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 плацебо/отсутствие профилактики составили менее 1%.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Нарушения со стороны желудочно-кишечного тракта (</w:t>
      </w:r>
      <w:proofErr w:type="spell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 против плацебо):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лечение - диарея (9% против 9%), тошнота (4% против 4%), боль в животе (включая боль в верхней части живота, 3% против 3%).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Инфекции и инвазии (</w:t>
      </w:r>
      <w:proofErr w:type="spell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 против плацебо):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лечение - средний отит (5% против 8%), бронхит (2% против 3%), пневмония (1% против 3%), синусит (1% против 2%).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Нарушения со стороны дыхательной системы, органов грудной клетки и средостения (</w:t>
      </w:r>
      <w:proofErr w:type="spell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 против плацебо):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лечение - астма (включая обострение, 3% против 4%), носовое кровотечение (2% против 2%);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>профилактика - кашель (12% против 26%), заложенность носа (11% против 20%).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Нарушения со стороны кожи и подкожных тканей (</w:t>
      </w:r>
      <w:proofErr w:type="spell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 против плацебо):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лечение - дерматит (включая аллергический 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атопический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дерматит, 1% против 2%).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Нарушения со стороны органа слуха и лабиринтные нарушения (</w:t>
      </w:r>
      <w:proofErr w:type="spell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 против плацебо):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лечение - боль в ухе (1% против 1%).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Нарушения со стороны органа зрения (</w:t>
      </w:r>
      <w:proofErr w:type="spell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 против плацебо):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лечение - конъюнктивит (включая покраснение глаз, выделения из глаза и боль в глазах, 1% против &lt;1%).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>Дополнительные нежелательные явления, отмеченные при проведении лечения гриппа у детей, не соответствовавшие описанным выше критериям.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Нарушения со стороны крови и лимфатической системы (</w:t>
      </w:r>
      <w:proofErr w:type="spell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 против плацебо):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лечение -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лимфоаденопатия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(&lt;1% против 1%).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Нарушения со стороны органа слуха и лабиринтные нарушения (</w:t>
      </w:r>
      <w:proofErr w:type="spell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 против плацебо):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лечение - повреждение барабанной перепонки (&lt;1% против 1%).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proofErr w:type="spellStart"/>
      <w:r w:rsidRPr="002C0D14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ru-RU"/>
        </w:rPr>
        <w:t>Постмаркет</w:t>
      </w:r>
      <w:proofErr w:type="spellEnd"/>
      <w:r w:rsidRPr="002C0D14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2C0D14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ru-RU"/>
        </w:rPr>
        <w:t>инговое</w:t>
      </w:r>
      <w:proofErr w:type="spellEnd"/>
      <w:r w:rsidRPr="002C0D14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ru-RU"/>
        </w:rPr>
        <w:t xml:space="preserve"> наблюдение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Далее представлены нежелательные явления при применении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которые наблюдались в период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постмаркетингового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наблюдения. Частота данных нежелательных явлений и/или причинно-следственная связь с применением препарата не может быть установлена, так как не известен истинный размер 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популяции в виду добровольного характера сообщений.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Нарушения со стороны кожи и подкожных тканей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: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реакции гиперчувствительности </w:t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-д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ерматит, кожная сыпь, экзема, крапивница,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мультиформная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экссудативная эритема, синдром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Стивенса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-Джонсона и токсический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эпидермальный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некролиз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аллергия, анафилактические 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анафилактоидные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реакции, отек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Квинке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Нарушения со стороны печени и желчевыводящих путей: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гепатит, увеличение активности «печеночных» ферментов у пациентов с гриппоподобными симптомами, получавших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;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фульминантный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гепатит (в том числе с фатальным исходом), печеночная недостаточность, желтуха.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Нарушения со стороны нервно-психической сферы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Гриппозная инфекция может ассоциироваться с различными неврологическими симптомами и изменениями поведения, включая такие симптомы, как галлюцинации, бред и анормальное поведение. В некоторых случаях они могут привести к смертельному исходу. Такие явления могут возникать как на фоне развития энцефалопатии или энцефалита, так и без проявления данных заболеваний.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У пациентов (в основном у детей и подростков), принимавших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 целью лечения гриппа, были зарегистрированы судороги и делирий (включая такие симптомы, как нарушение сознания, дезориентация во времени и пространстве, анормальное поведение, бред, галлюцинации, возбуждение, тревога, ночные кошмары). Эти случаи редко сопровождались опасными для жизни действиями. Роль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 развитии этих явлений неизвестна. Подобные психоневрологические нарушения так же отмечены у пациентов с гриппом, не получавших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Нарушения со стороны желудочно-кишечного тракта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: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желудочно-кишечные кровотечения после приема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(в частности, нельзя исключить связь между явлениями геморрагического колита и приемом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, поскольку указанные явления исчезали как после выздоровления пациента от гриппа, так и после отмены препарата).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Нарушения со стороны органа зрения: нарушение зрения.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Нарушения со стороны сердца: аритмия.</w:t>
      </w:r>
    </w:p>
    <w:p w:rsidR="002C0D14" w:rsidRPr="002C0D14" w:rsidRDefault="002C0D14" w:rsidP="002C0D14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Передозировка</w:t>
      </w:r>
    </w:p>
    <w:p w:rsidR="002C0D14" w:rsidRPr="002C0D14" w:rsidRDefault="002C0D14" w:rsidP="002C0D1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В большинстве случаев передозировка в ходе клинических исследований и при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постмаркетинговом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применении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не сопровождалась какими-либо нежелательными явлениями. В остальных случаях симптомы передозировки соответствовали нежелательным явлениям, представленным в разделе «Побочное действие».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Взаимодействие с другими лекарственными средствами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Клинически значимые лекарственные взаимодействия маловероятны по данным фармакологических и фармакокинетических исследований.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фосфат в высокой степени превращается в активный метаболит под действием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эстераз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в основном </w:t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расположенных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 печени. Лекарственные взаимодействия, обусловленные 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 xml:space="preserve">конкуренцией за связывание с активными центрами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эстераз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в литературных источниках широко не представлены. Низкая степень связывания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 активного метаболита с белками плазмы не дают оснований предполагать наличие взаимодействий, связанных с вытеснением лекарственных средств из связи с белками.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>Исследования </w:t>
      </w:r>
      <w:proofErr w:type="spell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in</w:t>
      </w:r>
      <w:proofErr w:type="spellEnd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vitro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 показывают, что ни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фосфат, ни его активный метаболит не являются предпочтительным субстратом для полифункциональных оксидаз системы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цитохрома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Р450 или для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глюкуронилтрансфераз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. Оснований для взаимодействия с пероральными контрацептивами нет.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proofErr w:type="spell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Циметидин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неспецифический ингибитор изофермента системы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цитохрома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Р450 и конкурирующий в процессе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канальцевой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секреции с препаратами щелочного типа и катионами, не влияет на плазменные концентрации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 его активного метаболита.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Маловероятны клинически значимые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межлекарственные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взаимодействия, связанные с конкуренцией за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канальцевую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секрецию, принимая во внимание резерв безопасности для большинства подобных препаратов, пути выведения активного метаболита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(клубочковая фильтрация и анионная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канальцевая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секреция), а также выводящую способность каждого из путей.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proofErr w:type="spellStart"/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Пробенецид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 приводит к увеличению AUC активного метаболита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примерно в 2 раза (за счет снижения активной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канальцевой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секреции в почках). Однако коррекции дозы при одновременном применении с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пробенецидом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не требуется, учитывая резерв безопасности активного метаболита.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>Одновременный прием с </w:t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амоксициллином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 не влияет на плазменные концентрации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 его компонентов, демонстрируя слабую конкуренцию за выведение путем анионной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канальцевой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секреции.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>Одновременный прием с </w:t>
      </w: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парацетамолом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 не влияет на плазменные концентрации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 его активного метаболита или парацетамола.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Фармакокинетических взаимодействий между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осельтамивиром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его основным метаболитом не обнаружено при одновременном приеме с парацетамолом, ацетилсалициловой кислотой,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циметидином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антацидными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средствами (магния и алюминия гидроксид, кальция карбонат),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варфарином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римантадином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амантадином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При использовании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осальтемивира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 часто применяемыми препаратами, такими как ингибиторы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ангиотензинпревращающего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фермента (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эналаприл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каптоприл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),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тиазидные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диуретики (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бендрофлуметиазид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), антибиотики (пенициллин, цефалоспорины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азитромицин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эритромицин 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доксициклин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), блокаторы Н</w:t>
      </w:r>
      <w:r w:rsidRPr="002C0D14">
        <w:rPr>
          <w:rFonts w:eastAsia="Times New Roman" w:cstheme="minorHAnsi"/>
          <w:color w:val="333333"/>
          <w:sz w:val="28"/>
          <w:szCs w:val="28"/>
          <w:vertAlign w:val="subscript"/>
          <w:lang w:eastAsia="ru-RU"/>
        </w:rPr>
        <w:t>2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-гистаминовых рецепторов (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ранитидин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циметидин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), бета-адреноблокаторы (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пропранолол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),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ксантины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(теофиллин), симпатомиметики (псевдоэфедрин), опиаты (кодеин),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глюкокортикостероиды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ингаляционные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бронхолитики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 ненаркотические анальгетики (ацетилсалициловая кислота, ибупрофен и парацетамол), изменений характера или частоты нежелательных явлений не наблюдалось.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Применять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 комбинации с препаратами, имеющими узкую широту терапевтического действия (например,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хлорпропамид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метотрексат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бутадион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), необходимо с осторожностью.</w:t>
      </w:r>
    </w:p>
    <w:p w:rsidR="002C0D14" w:rsidRPr="002C0D14" w:rsidRDefault="002C0D14" w:rsidP="002C0D14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lastRenderedPageBreak/>
        <w:t>Особые указания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Нарушения психики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У пациентов (в основном у детей и подростков), принимавших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 целью лечения гриппа, были зарегистрированы судороги и </w:t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делирий-подобные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психоневрологические нарушения. Эти случаи редко сопровождались опасными для жизни действиями. Роль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 развитии этих явлений неизвестна. Подобные психоневрологические нарушения так же отмечены у пациентов с гриппом, не получавших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. Риск развития психоневрологических нарушений у пациентов, получающих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, не превышает таковой у пациентов с гриппом, не получающих противовирусные препараты.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Рекомендуется тщательное наблюдение за состоянием и поведением пациентов, особенно детей и подростков, с целью выявления признаков анормального поведения и оценки риска продолжения приема препарата при развитии данных явлений.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Данных по эффективности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при любых заболеваниях, вызванных другими возбудителями, кроме вирусов гриппа</w:t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 В, нет.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не является заменой вакцинации.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>Профилактический прием препарата возможен по эпидемиологическим показаниям. Рекомендации по коррекции дозы у больных с поражением почек представлены в подразделе «Дозирование в особых случаях» (также см. «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Фармакокинетика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 особых группах пациентов»).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Влияние на способность управлять транспортными средствами и механизмами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Исследования по изучению влияния препарата на способность управлять транспортными средствами и заниматься другими потенциально опасными видами деятельности, требующими повышенной концентрации внимания и быстроты психомоторных реакций, не проводились. Исходя из профиля безопасности, влияние 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осельтамивира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на данные виды деятельности маловероятно.</w:t>
      </w:r>
    </w:p>
    <w:p w:rsidR="002C0D14" w:rsidRPr="002C0D14" w:rsidRDefault="002C0D14" w:rsidP="002C0D14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Форма выпуска</w:t>
      </w:r>
    </w:p>
    <w:p w:rsidR="002C0D14" w:rsidRPr="002C0D14" w:rsidRDefault="002C0D14" w:rsidP="002C0D1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Капсулы по 30 мг; 45 мг; 75 мг.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ru-RU"/>
        </w:rPr>
        <w:t>Первичная упаковка лекарственного препарата.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По 5 или 10 капсул в контурную ячейковую упаковку из пленки поливинилхлоридной и фольги алюминиевой печатной лакированной.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По 20, 30 капсул в банку полимерную с </w:t>
      </w: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крышкой</w:t>
      </w:r>
      <w:proofErr w:type="gram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натягиваемой с контролем первого вскрытия. Свободное пространство заполняют ватой медицинской. На банки наклеивают этикетки из бумаги этикеточной или писчей или из полимерных материалов, самоклеящиеся.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ru-RU"/>
        </w:rPr>
        <w:t>Вторичная упаковка лекарственного препарата.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По 1 или 2 контурной ячейковой упаковке вместе с инструкцией по применению помещают в пачку из картона для потребительской тары. Пачки помещают в групповую упаковку.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По 1 банке вместе с инструкцией по применению помещают в пачку из картона для потребительской тары. Пачки помещают в групповую упаковку.</w:t>
      </w:r>
    </w:p>
    <w:p w:rsidR="002C0D14" w:rsidRPr="002C0D14" w:rsidRDefault="002C0D14" w:rsidP="002C0D14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Условия хранения</w:t>
      </w:r>
    </w:p>
    <w:p w:rsidR="002C0D14" w:rsidRPr="002C0D14" w:rsidRDefault="002C0D14" w:rsidP="002C0D1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Хранить в оригинальной упаковке производителя при температуре не выше 25°С.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Хранить в недоступном для детей месте.</w:t>
      </w:r>
    </w:p>
    <w:p w:rsidR="002C0D14" w:rsidRPr="002C0D14" w:rsidRDefault="002C0D14" w:rsidP="002C0D14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Срок годности</w:t>
      </w:r>
    </w:p>
    <w:p w:rsidR="002C0D14" w:rsidRPr="002C0D14" w:rsidRDefault="002C0D14" w:rsidP="002C0D1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3 года. Не использовать по истечении срока, указанного на упаковке.</w:t>
      </w:r>
    </w:p>
    <w:p w:rsidR="002C0D14" w:rsidRPr="002C0D14" w:rsidRDefault="002C0D14" w:rsidP="002C0D14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Условия отпуска</w:t>
      </w:r>
    </w:p>
    <w:p w:rsidR="002C0D14" w:rsidRPr="002C0D14" w:rsidRDefault="002C0D14" w:rsidP="002C0D1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Отпускается по рецепту.</w:t>
      </w:r>
    </w:p>
    <w:p w:rsidR="002C0D14" w:rsidRPr="002C0D14" w:rsidRDefault="002C0D14" w:rsidP="002C0D14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Производитель</w:t>
      </w:r>
    </w:p>
    <w:p w:rsidR="002C0D14" w:rsidRPr="002C0D14" w:rsidRDefault="002C0D14" w:rsidP="002C0D1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АО «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Фармасинтез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», Россия.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Юридический адрес</w:t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: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Россия, 664007, г. Иркутск, ул. Красногвардейская, д. 23, оф. 3.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Адрес производственной площадки: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Россия, 664040, г. Иркутск, ул. Р. Люксембург, д. 184.</w:t>
      </w:r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2C0D1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Претензии потребителей направлять по адресу:</w:t>
      </w:r>
    </w:p>
    <w:p w:rsidR="002C0D14" w:rsidRPr="002C0D14" w:rsidRDefault="002C0D14" w:rsidP="002C0D14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gram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АО «</w:t>
      </w:r>
      <w:proofErr w:type="spellStart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Фармасинтез</w:t>
      </w:r>
      <w:proofErr w:type="spellEnd"/>
      <w:r w:rsidRPr="002C0D14">
        <w:rPr>
          <w:rFonts w:eastAsia="Times New Roman" w:cstheme="minorHAnsi"/>
          <w:color w:val="333333"/>
          <w:sz w:val="28"/>
          <w:szCs w:val="28"/>
          <w:lang w:eastAsia="ru-RU"/>
        </w:rPr>
        <w:t>», Россия, 664040, г. Иркутск, ул. Р. Люксембург, д. 184,</w:t>
      </w:r>
      <w:proofErr w:type="gramEnd"/>
    </w:p>
    <w:p w:rsidR="00152287" w:rsidRPr="002C0D14" w:rsidRDefault="00152287" w:rsidP="002C0D14">
      <w:pPr>
        <w:shd w:val="clear" w:color="auto" w:fill="FFFFFF"/>
        <w:spacing w:after="225" w:line="450" w:lineRule="atLeast"/>
        <w:textAlignment w:val="baseline"/>
        <w:outlineLvl w:val="2"/>
        <w:rPr>
          <w:rFonts w:cstheme="minorHAnsi"/>
          <w:sz w:val="28"/>
          <w:szCs w:val="28"/>
        </w:rPr>
      </w:pPr>
    </w:p>
    <w:sectPr w:rsidR="00152287" w:rsidRPr="002C0D14" w:rsidSect="009D299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7A" w:rsidRDefault="00A4167A" w:rsidP="009D2996">
      <w:pPr>
        <w:spacing w:after="0" w:line="240" w:lineRule="auto"/>
      </w:pPr>
      <w:r>
        <w:separator/>
      </w:r>
    </w:p>
  </w:endnote>
  <w:endnote w:type="continuationSeparator" w:id="0">
    <w:p w:rsidR="00A4167A" w:rsidRDefault="00A4167A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>
      <w:t xml:space="preserve">Инструкция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7A" w:rsidRDefault="00A4167A" w:rsidP="009D2996">
      <w:pPr>
        <w:spacing w:after="0" w:line="240" w:lineRule="auto"/>
      </w:pPr>
      <w:r>
        <w:separator/>
      </w:r>
    </w:p>
  </w:footnote>
  <w:footnote w:type="continuationSeparator" w:id="0">
    <w:p w:rsidR="00A4167A" w:rsidRDefault="00A4167A" w:rsidP="009D2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152287"/>
    <w:rsid w:val="00157D3A"/>
    <w:rsid w:val="002C0D14"/>
    <w:rsid w:val="004B0732"/>
    <w:rsid w:val="00720A11"/>
    <w:rsid w:val="008C3C0F"/>
    <w:rsid w:val="00954132"/>
    <w:rsid w:val="009D2996"/>
    <w:rsid w:val="00A4167A"/>
    <w:rsid w:val="00B518BE"/>
    <w:rsid w:val="00E50256"/>
    <w:rsid w:val="00E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semiHidden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semiHidden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5284</Words>
  <Characters>30120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2020-06-07T16:26:00Z</cp:lastPrinted>
  <dcterms:created xsi:type="dcterms:W3CDTF">2020-06-07T17:15:00Z</dcterms:created>
  <dcterms:modified xsi:type="dcterms:W3CDTF">2020-06-07T17:15:00Z</dcterms:modified>
</cp:coreProperties>
</file>