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4C363D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Арбидол</w:t>
      </w:r>
      <w:bookmarkStart w:id="0" w:name="_GoBack"/>
      <w:bookmarkEnd w:id="0"/>
      <w:r w:rsidR="002C0D14" w:rsidRPr="002D0FD1">
        <w:rPr>
          <w:rFonts w:asciiTheme="minorHAnsi" w:hAnsiTheme="minorHAnsi" w:cstheme="minorHAnsi"/>
          <w:color w:val="auto"/>
          <w:sz w:val="36"/>
        </w:rPr>
        <w:t xml:space="preserve"> </w:t>
      </w:r>
      <w:r w:rsidR="009D2996" w:rsidRPr="002D0FD1">
        <w:rPr>
          <w:rFonts w:asciiTheme="minorHAnsi" w:hAnsiTheme="minorHAnsi" w:cstheme="minorHAnsi"/>
          <w:color w:val="auto"/>
          <w:sz w:val="36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Арбидол</w:t>
      </w:r>
      <w:proofErr w:type="spellEnd"/>
      <w:r>
        <w:rPr>
          <w:rFonts w:ascii="Helvetica" w:hAnsi="Helvetica"/>
          <w:color w:val="333333"/>
          <w:sz w:val="21"/>
          <w:szCs w:val="21"/>
        </w:rPr>
        <w:t>®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Умифеновир</w:t>
      </w:r>
      <w:proofErr w:type="spellEnd"/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Капсулы 100 мг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капсула содержит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 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умифеновир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</w:rPr>
        <w:t>умифеновира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гидрохлорида моногидрат в пересчете 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умифеновира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гидрохлорид) 100 мг,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>: крахмал картофельный, целлюлоза микрокристаллическая, кремния диоксид коллоидный (</w:t>
      </w:r>
      <w:proofErr w:type="spellStart"/>
      <w:r>
        <w:rPr>
          <w:rFonts w:ascii="Helvetica" w:hAnsi="Helvetica"/>
          <w:color w:val="333333"/>
          <w:sz w:val="21"/>
          <w:szCs w:val="21"/>
        </w:rPr>
        <w:t>аэросил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коллидон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25), кальция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,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состав оболочки капсулы</w:t>
      </w:r>
      <w:r>
        <w:rPr>
          <w:rFonts w:ascii="Helvetica" w:hAnsi="Helvetica"/>
          <w:color w:val="333333"/>
          <w:sz w:val="21"/>
          <w:szCs w:val="21"/>
        </w:rPr>
        <w:t xml:space="preserve">: титана диоксид (Е 171), краситель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хинолиновый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желтый (Е 104), краситель солнечный закат желтый (Е 110), кислота уксусная, желатин.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Капсулы №1 белого цвета, крышечка желтого цвета. </w:t>
      </w:r>
      <w:proofErr w:type="gramStart"/>
      <w:r>
        <w:rPr>
          <w:rFonts w:ascii="Helvetica" w:hAnsi="Helvetica"/>
          <w:color w:val="333333"/>
          <w:sz w:val="21"/>
          <w:szCs w:val="21"/>
        </w:rPr>
        <w:t>Содержимое капсул – смесь, содержащая гранулы и порошок от белого или белого с зеленовато-желтым до светло-желтого или светло-желтого с зеленоватым оттенком цвета.</w:t>
      </w:r>
      <w:proofErr w:type="gramEnd"/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системного действия. Противовирусные препараты прочие.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АТХ J05AX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Умифеновир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быстро абсорбируется и распределяется по органам и тканям. Максимальная концентрация в плазме крови при приеме в дозе 100 мг достигается через 1,5 ч.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Метаболизируется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печени. Период полувыведения равен 17-21 ч. Около 40 % выводится в неизмененном виде, в основном с желчью (38,9 %) и в незначительном количестве почками (0,12 %). В течение первых суток выводится 90 % от введенной дозы.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Арбидол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</w:t>
      </w:r>
      <w:r>
        <w:rPr>
          <w:rFonts w:ascii="Helvetica" w:hAnsi="Helvetica"/>
          <w:color w:val="333333"/>
          <w:sz w:val="21"/>
          <w:szCs w:val="21"/>
        </w:rPr>
        <w:sym w:font="Symbol" w:char="F02D"/>
      </w:r>
      <w:r>
        <w:rPr>
          <w:rFonts w:ascii="Helvetica" w:hAnsi="Helvetica"/>
          <w:color w:val="333333"/>
          <w:sz w:val="21"/>
          <w:szCs w:val="21"/>
        </w:rPr>
        <w:t xml:space="preserve"> противовирусное средство широкого спектра действия. Специфически подавляет вирусы гриппа А и В,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ассоциированный с тяжелым острым респираторным синдромом (ТОРС). По механизму противовирусного действия относится к ингибиторам слияния (фузии), взаимодействует с гемагглютинином вируса и препятствует слиянию липидной оболочки вируса и клеточных мембран. Оказывает умеренное иммуномодулирующее действие, повышает устойчивость организма к вирусным инфекциям. Обладает интерферон-индуцирующей активностью - в исследовании на мышах индукция интерферонов отмечалась уже через 16 часов, а высокие титры интерферонов сохранялись в крови до </w:t>
      </w:r>
      <w:r>
        <w:rPr>
          <w:rFonts w:ascii="Helvetica" w:hAnsi="Helvetica"/>
          <w:color w:val="333333"/>
          <w:sz w:val="21"/>
          <w:szCs w:val="21"/>
        </w:rPr>
        <w:lastRenderedPageBreak/>
        <w:t>48 часов после введения. Стимулирует клеточные и гуморальные реакции иммунитета: повышает число лимфоцитов в крови, в особенности Т-клеток (СD3), повышает число Т-хелперов (CD4), не влияя на уровень Т-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супрессоров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(CD8), нормализует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иммунорегуляторный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индекс, стимулирует фагоцитарную функцию макрофагов и повышает число естественных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киллеров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(NK-клеток). Повышает устойчивость организма к вирусным инфекциям.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Терапевтическая эффективность при вирусных инфекциях проявляется в уменьшении продолжительности и тяжести течения болезни и ее основных симптомов, а также в снижении частоты развития осложнений, связанных с вирусной инфекцией, и обострений хронических бактериальных заболеваний.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Относится к малотоксичным препаратам (LD50&gt;4 г/кг). Не оказывает какого-либо отрицательного воздействия на организм человека при пероральном применении в рекомендуемых дозах.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и лечение у взрослых: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грипп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В, другие ОРВИ, тяжелый острый респираторный синдром (ТОРС) (в том числе осложненные бронхитом, пневмонией);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вторичные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состояния;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Комплексная терапия хронического бронхита, пневмонии и рецидивирующей герпетической инфекции.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Профилактика послеоперационных инфекционных осложнений.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Внутрь, до приема пищи.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Для неспецифической профилактики и лечения гриппа и других ОРВИ у взрослых: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Неспецифическая профилактика: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неспецифической профилактики в период эпидемии гриппа и других ОРВИ: 200 мг два раза в неделю в течение 3 недель.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непосредственном контакте с больными гриппом и другими ОРВИ: 200 мг один раз в день в течение 10-14 дней.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Лечение гриппа и других ОРВИ: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неосложненном течении: 200 мг 4 раза в сутки (каждые 6 часов) в течение 5 суток.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 развитии осложнений (бронхит, пневмония и др.): взрослым – 200 мг 4 раза в сутки (каждые 6 часов) в течение 5 суток, затем разовую дозу 1 раз в неделю в течение 4 недель.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Для неспецифической профилактики и лечения тяжелого острого респираторного синдрома (ТОРС):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Для неспецифической профилактики ТОРС (при контакте с больным): </w:t>
      </w:r>
      <w:r>
        <w:rPr>
          <w:rFonts w:ascii="Helvetica" w:hAnsi="Helvetica"/>
          <w:color w:val="333333"/>
          <w:sz w:val="21"/>
          <w:szCs w:val="21"/>
        </w:rPr>
        <w:t>по 200 мг один раз в день.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Для лечения ТОРС: </w:t>
      </w:r>
      <w:r>
        <w:rPr>
          <w:rFonts w:ascii="Helvetica" w:hAnsi="Helvetica"/>
          <w:color w:val="333333"/>
          <w:sz w:val="21"/>
          <w:szCs w:val="21"/>
        </w:rPr>
        <w:t>200 мг 2 раза в день в течение 8-10 суток.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В комплексной терапии хронического бронхита, герпетической инфекции: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200 мг 4 раза в сутки (каждые 6 часов) в течение 5-7 суток, затем разовую дозу 2 раза в неделю в течение 4 недель</w:t>
      </w: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color w:val="333333"/>
          <w:sz w:val="21"/>
          <w:szCs w:val="21"/>
        </w:rPr>
        <w:t>Профилактика послеоперационных осложнений: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200 мг за 2 суток до операции, затем на 2 и 5 сутки после операции.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Разовая доза – 200 мг.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Максимальная суточная доза – 800 мг.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Побочные действия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Редко</w:t>
      </w:r>
      <w:r>
        <w:rPr>
          <w:rFonts w:ascii="Helvetica" w:hAnsi="Helvetica"/>
          <w:color w:val="333333"/>
          <w:sz w:val="21"/>
          <w:szCs w:val="21"/>
        </w:rPr>
        <w:t> (с частотой от 1/10 000 до 1/1000)</w:t>
      </w:r>
    </w:p>
    <w:p w:rsidR="004C363D" w:rsidRDefault="004C363D" w:rsidP="004C363D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аллергические реакции: кожная сыпь, зуд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4C363D" w:rsidRDefault="004C363D" w:rsidP="004C363D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повышенная чувствительность к компонентам препарата</w:t>
      </w:r>
    </w:p>
    <w:p w:rsidR="004C363D" w:rsidRDefault="004C363D" w:rsidP="004C363D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детский и подростковый возраст до 18 лет</w:t>
      </w:r>
    </w:p>
    <w:p w:rsidR="004C363D" w:rsidRDefault="004C363D" w:rsidP="004C363D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беременность и период лактации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назначении с другими лекарственными средствами отрицательных эффектов отмечено не было.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Арбидол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следует с осторожностью назначать больным с сопутствующими заболеваниями </w:t>
      </w:r>
      <w:proofErr w:type="gramStart"/>
      <w:r>
        <w:rPr>
          <w:rFonts w:ascii="Helvetica" w:hAnsi="Helvetica"/>
          <w:color w:val="333333"/>
          <w:sz w:val="21"/>
          <w:szCs w:val="21"/>
        </w:rPr>
        <w:t>сердечно-сосудистой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системы, печени и почек.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Не проявляет центральной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нейротропной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активности и может применяться в медицинской практике в профилактических целях у практически здоровых лиц различных профессий,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/>
          <w:color w:val="333333"/>
          <w:sz w:val="21"/>
          <w:szCs w:val="21"/>
        </w:rPr>
        <w:t>. требующих повышенного внимания и координации движений (водители транспорта, операторы и т.д.).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средства на способность управлять транспортным средством или потенциально опасными механизмами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Применение препарата в терапевтических дозах у лиц, работающих с механизмами, и водителей автотранспорта не противопоказано.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Симптомы</w:t>
      </w:r>
      <w:r>
        <w:rPr>
          <w:rFonts w:ascii="Helvetica" w:hAnsi="Helvetica"/>
          <w:color w:val="333333"/>
          <w:sz w:val="21"/>
          <w:szCs w:val="21"/>
        </w:rPr>
        <w:t> – случаи передозировки не отмечены.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Лечение </w:t>
      </w:r>
      <w:r>
        <w:rPr>
          <w:rFonts w:ascii="Helvetica" w:hAnsi="Helvetica"/>
          <w:color w:val="333333"/>
          <w:sz w:val="21"/>
          <w:szCs w:val="21"/>
        </w:rPr>
        <w:t>– симптоматическое (в случае возникновения передозировки).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10 капсул в контурной ячейковой упаковке из плёнки поливинилхлоридной и фольги алюминиевой печатной лакированной.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1, 2 или 4 контурные упаковки с инструкцией по медицинскому применению на государственном и русском языках в пачке из картона.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при температуре не выше 25 °С.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месте!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года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После окончания срока годности препарат не использовать!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Без рецепта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ОАО "Фармстандарт-</w:t>
      </w:r>
      <w:proofErr w:type="spellStart"/>
      <w:r>
        <w:rPr>
          <w:rFonts w:ascii="Helvetica" w:hAnsi="Helvetica"/>
          <w:color w:val="333333"/>
          <w:sz w:val="21"/>
          <w:szCs w:val="21"/>
        </w:rPr>
        <w:t>Лексредства</w:t>
      </w:r>
      <w:proofErr w:type="spellEnd"/>
      <w:r>
        <w:rPr>
          <w:rFonts w:ascii="Helvetica" w:hAnsi="Helvetica"/>
          <w:color w:val="333333"/>
          <w:sz w:val="21"/>
          <w:szCs w:val="21"/>
        </w:rPr>
        <w:t>",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305022, Россия, г. Курск, ул. 2-я Агрегатная, 1а/18</w:t>
      </w:r>
    </w:p>
    <w:p w:rsidR="004C363D" w:rsidRDefault="004C363D" w:rsidP="004C363D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ПАО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Отисифарм</w:t>
      </w:r>
      <w:proofErr w:type="spellEnd"/>
      <w:r>
        <w:rPr>
          <w:rFonts w:ascii="Helvetica" w:hAnsi="Helvetica"/>
          <w:color w:val="333333"/>
          <w:sz w:val="21"/>
          <w:szCs w:val="21"/>
        </w:rPr>
        <w:t>»,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123317, Россия, г. Москва,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Тестовская</w:t>
      </w:r>
      <w:proofErr w:type="spellEnd"/>
      <w:r>
        <w:rPr>
          <w:rFonts w:ascii="Helvetica" w:hAnsi="Helvetica"/>
          <w:color w:val="333333"/>
          <w:sz w:val="21"/>
          <w:szCs w:val="21"/>
        </w:rPr>
        <w:t>, д. 10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продукции: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ТОО "Карагандинский фармацевтический комплекс",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100009, Республика Казахстан, г. Караганда, ул. Ботаническая, д. 12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Тел/факс: +7 (7212) 437002, Тел: + 7 (7212) 507322</w:t>
      </w:r>
    </w:p>
    <w:p w:rsidR="004C363D" w:rsidRDefault="004C363D" w:rsidP="004C363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kphk@kphk.kz</w:t>
      </w:r>
    </w:p>
    <w:p w:rsidR="009D2996" w:rsidRPr="00E7484F" w:rsidRDefault="009D2996" w:rsidP="004C363D">
      <w:pPr>
        <w:spacing w:before="300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sectPr w:rsidR="009D2996" w:rsidRPr="00E7484F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A8" w:rsidRDefault="00B17BA8" w:rsidP="009D2996">
      <w:pPr>
        <w:spacing w:after="0" w:line="240" w:lineRule="auto"/>
      </w:pPr>
      <w:r>
        <w:separator/>
      </w:r>
    </w:p>
  </w:endnote>
  <w:endnote w:type="continuationSeparator" w:id="0">
    <w:p w:rsidR="00B17BA8" w:rsidRDefault="00B17BA8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A8" w:rsidRDefault="00B17BA8" w:rsidP="009D2996">
      <w:pPr>
        <w:spacing w:after="0" w:line="240" w:lineRule="auto"/>
      </w:pPr>
      <w:r>
        <w:separator/>
      </w:r>
    </w:p>
  </w:footnote>
  <w:footnote w:type="continuationSeparator" w:id="0">
    <w:p w:rsidR="00B17BA8" w:rsidRDefault="00B17BA8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2D0FD1"/>
    <w:rsid w:val="004B0732"/>
    <w:rsid w:val="004C363D"/>
    <w:rsid w:val="00610282"/>
    <w:rsid w:val="006619D0"/>
    <w:rsid w:val="00720A11"/>
    <w:rsid w:val="00861736"/>
    <w:rsid w:val="008C3C0F"/>
    <w:rsid w:val="00954132"/>
    <w:rsid w:val="009D2996"/>
    <w:rsid w:val="00A75929"/>
    <w:rsid w:val="00B17BA8"/>
    <w:rsid w:val="00B518BE"/>
    <w:rsid w:val="00E50256"/>
    <w:rsid w:val="00E7484F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2020-06-08T05:16:00Z</cp:lastPrinted>
  <dcterms:created xsi:type="dcterms:W3CDTF">2020-06-08T05:26:00Z</dcterms:created>
  <dcterms:modified xsi:type="dcterms:W3CDTF">2020-06-08T05:26:00Z</dcterms:modified>
</cp:coreProperties>
</file>