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157D3A" w:rsidRDefault="00157D3A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proofErr w:type="spellStart"/>
      <w:r w:rsidRPr="00157D3A">
        <w:rPr>
          <w:rFonts w:asciiTheme="minorHAnsi" w:hAnsiTheme="minorHAnsi" w:cstheme="minorHAnsi"/>
          <w:color w:val="auto"/>
        </w:rPr>
        <w:t>Алпизарин</w:t>
      </w:r>
      <w:proofErr w:type="spellEnd"/>
      <w:r w:rsidR="00E50256" w:rsidRPr="00157D3A">
        <w:rPr>
          <w:rFonts w:asciiTheme="minorHAnsi" w:hAnsiTheme="minorHAnsi" w:cstheme="minorHAnsi"/>
          <w:color w:val="auto"/>
        </w:rPr>
        <w:t xml:space="preserve"> </w:t>
      </w:r>
      <w:r w:rsidR="009D2996" w:rsidRPr="00157D3A">
        <w:rPr>
          <w:rFonts w:asciiTheme="minorHAnsi" w:hAnsiTheme="minorHAnsi" w:cstheme="minorHAnsi"/>
          <w:color w:val="auto"/>
        </w:rPr>
        <w:t>- инструкция по применению</w:t>
      </w:r>
    </w:p>
    <w:p w:rsidR="009D2996" w:rsidRPr="00157D3A" w:rsidRDefault="009D2996" w:rsidP="00B518B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157D3A" w:rsidRPr="00157D3A" w:rsidRDefault="00157D3A" w:rsidP="00157D3A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Форма выпуска</w:t>
      </w:r>
    </w:p>
    <w:p w:rsidR="00157D3A" w:rsidRPr="00157D3A" w:rsidRDefault="00157D3A" w:rsidP="00157D3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Таблетки.</w:t>
      </w:r>
    </w:p>
    <w:p w:rsidR="00157D3A" w:rsidRPr="00157D3A" w:rsidRDefault="00157D3A" w:rsidP="00157D3A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Состав</w:t>
      </w:r>
    </w:p>
    <w:p w:rsidR="00157D3A" w:rsidRPr="00157D3A" w:rsidRDefault="00157D3A" w:rsidP="00157D3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1 табл. содержит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мангиферина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100 мг.</w:t>
      </w:r>
    </w:p>
    <w:p w:rsidR="00157D3A" w:rsidRPr="00157D3A" w:rsidRDefault="00157D3A" w:rsidP="00157D3A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Упаковка</w:t>
      </w:r>
    </w:p>
    <w:p w:rsidR="00157D3A" w:rsidRPr="00157D3A" w:rsidRDefault="00157D3A" w:rsidP="00157D3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20 шт.</w:t>
      </w:r>
    </w:p>
    <w:p w:rsidR="00157D3A" w:rsidRPr="00157D3A" w:rsidRDefault="00157D3A" w:rsidP="00157D3A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Фармакологическое действие</w:t>
      </w:r>
    </w:p>
    <w:p w:rsidR="00157D3A" w:rsidRPr="00157D3A" w:rsidRDefault="00157D3A" w:rsidP="00157D3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proofErr w:type="spellStart"/>
      <w:proofErr w:type="gram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Алпизарин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— противовирусный препарат, полученный из травы копеечника альпийского (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Hedysarum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alpinum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L.), копеечника желтеющего (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Hedysarum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flavescens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Rgl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.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et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Schmalh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.) семейства бобовых или технического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мангиферина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, получаемого из листьев манго (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Mangifera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indica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L.), семейства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сумаховых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.</w:t>
      </w:r>
      <w:proofErr w:type="gram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Препарат обладает противовирусной активностью в отношении ДНК—содержащих вирусов (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Herpes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simplex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I и II типа,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Varicella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zoster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, ВИЧ, ЦМВ), которая обусловлена подавлением репродукции вирусов на ранних этапах их развития. Препарат обладает способностью индуцировать продукцию </w:t>
      </w:r>
      <w:proofErr w:type="gram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гамма—интерферона</w:t>
      </w:r>
      <w:proofErr w:type="gram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в клетках крови. 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Алпизарин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оказывает умеренное бактериостатическое действие в отношении грамположительных и грамотрицательных бактерий, простейших и микобактерий туберкулеза.</w:t>
      </w:r>
    </w:p>
    <w:p w:rsidR="00157D3A" w:rsidRPr="00157D3A" w:rsidRDefault="00157D3A" w:rsidP="00157D3A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Показания</w:t>
      </w:r>
    </w:p>
    <w:p w:rsidR="00157D3A" w:rsidRPr="00157D3A" w:rsidRDefault="00157D3A" w:rsidP="00157D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proofErr w:type="spellStart"/>
      <w:r w:rsidRPr="00157D3A">
        <w:rPr>
          <w:rFonts w:eastAsia="Times New Roman" w:cstheme="minorHAnsi"/>
          <w:b/>
          <w:bCs/>
          <w:color w:val="484849"/>
          <w:sz w:val="28"/>
          <w:szCs w:val="28"/>
          <w:bdr w:val="none" w:sz="0" w:space="0" w:color="auto" w:frame="1"/>
          <w:lang w:eastAsia="ru-RU"/>
        </w:rPr>
        <w:t>Алпизарин</w:t>
      </w:r>
      <w:proofErr w:type="spellEnd"/>
      <w:r w:rsidRPr="00157D3A">
        <w:rPr>
          <w:rFonts w:eastAsia="Times New Roman" w:cstheme="minorHAnsi"/>
          <w:b/>
          <w:bCs/>
          <w:color w:val="484849"/>
          <w:sz w:val="28"/>
          <w:szCs w:val="28"/>
          <w:bdr w:val="none" w:sz="0" w:space="0" w:color="auto" w:frame="1"/>
          <w:lang w:eastAsia="ru-RU"/>
        </w:rPr>
        <w:t>, показания к применению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</w:r>
    </w:p>
    <w:p w:rsidR="00157D3A" w:rsidRPr="00157D3A" w:rsidRDefault="00157D3A" w:rsidP="00157D3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— лечение инфекций кожи и слизистых оболочек, вызванных вирусами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Herpes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simplex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I и II типа, как первичных, так и рецидивирующих;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 xml:space="preserve">— профилактика инфекций, вызываемых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Herpes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simplex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I и II типа;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 xml:space="preserve">— инфекции, вызванные вирусами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Varicella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zoster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(ветряная оспа, опоясывающий герпес);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 xml:space="preserve">— герпетиформная экзема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Капоши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;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— дерматозы предположительно вирусного генеза (красный плоский лишай);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— бородавки, остроконечные кондиломы.</w:t>
      </w:r>
    </w:p>
    <w:p w:rsidR="00157D3A" w:rsidRPr="00157D3A" w:rsidRDefault="00157D3A" w:rsidP="00157D3A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Противопоказания</w:t>
      </w:r>
    </w:p>
    <w:p w:rsidR="00157D3A" w:rsidRPr="00157D3A" w:rsidRDefault="00157D3A" w:rsidP="00157D3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— повышенная чувствительность к компонентам препарата; 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— беременность.</w:t>
      </w:r>
    </w:p>
    <w:p w:rsidR="00157D3A" w:rsidRPr="00157D3A" w:rsidRDefault="00157D3A" w:rsidP="00157D3A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lastRenderedPageBreak/>
        <w:t>Способ применения и дозы</w:t>
      </w:r>
    </w:p>
    <w:p w:rsidR="00157D3A" w:rsidRPr="00157D3A" w:rsidRDefault="00157D3A" w:rsidP="00157D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Терапевтический эффект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Алпизарина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наиболее выражен при его назначении в начальном периоде заболевания или рецидива. 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Таблетки принимают внутрь независимо от приема пищи. </w:t>
      </w:r>
      <w:r w:rsidRPr="00157D3A">
        <w:rPr>
          <w:rFonts w:eastAsia="Times New Roman" w:cstheme="minorHAnsi"/>
          <w:i/>
          <w:iCs/>
          <w:color w:val="484849"/>
          <w:sz w:val="28"/>
          <w:szCs w:val="28"/>
          <w:bdr w:val="none" w:sz="0" w:space="0" w:color="auto" w:frame="1"/>
          <w:lang w:eastAsia="ru-RU"/>
        </w:rPr>
        <w:t>Взрослым и детям старше 12 лет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  назначают по 1-2 таб. 3-4 раза/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сут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; </w:t>
      </w:r>
      <w:r w:rsidRPr="00157D3A">
        <w:rPr>
          <w:rFonts w:eastAsia="Times New Roman" w:cstheme="minorHAnsi"/>
          <w:i/>
          <w:iCs/>
          <w:color w:val="484849"/>
          <w:sz w:val="28"/>
          <w:szCs w:val="28"/>
          <w:bdr w:val="none" w:sz="0" w:space="0" w:color="auto" w:frame="1"/>
          <w:lang w:eastAsia="ru-RU"/>
        </w:rPr>
        <w:t>де</w:t>
      </w:r>
      <w:bookmarkStart w:id="0" w:name="_GoBack"/>
      <w:bookmarkEnd w:id="0"/>
      <w:r w:rsidRPr="00157D3A">
        <w:rPr>
          <w:rFonts w:eastAsia="Times New Roman" w:cstheme="minorHAnsi"/>
          <w:i/>
          <w:iCs/>
          <w:color w:val="484849"/>
          <w:sz w:val="28"/>
          <w:szCs w:val="28"/>
          <w:bdr w:val="none" w:sz="0" w:space="0" w:color="auto" w:frame="1"/>
          <w:lang w:eastAsia="ru-RU"/>
        </w:rPr>
        <w:t>тям 6-12 лет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  по 1 таб. 2-3 раза/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сут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; </w:t>
      </w:r>
      <w:r w:rsidRPr="00157D3A">
        <w:rPr>
          <w:rFonts w:eastAsia="Times New Roman" w:cstheme="minorHAnsi"/>
          <w:i/>
          <w:iCs/>
          <w:color w:val="484849"/>
          <w:sz w:val="28"/>
          <w:szCs w:val="28"/>
          <w:bdr w:val="none" w:sz="0" w:space="0" w:color="auto" w:frame="1"/>
          <w:lang w:eastAsia="ru-RU"/>
        </w:rPr>
        <w:t>детям 1-6 лет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  по 1/2-1 таб. 2-3 раза/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сут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.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Курс лечения — от 3-5 дней до 3-4 недель, в зависимости от формы и тяжести заболевания.</w:t>
      </w:r>
    </w:p>
    <w:p w:rsidR="00157D3A" w:rsidRPr="00157D3A" w:rsidRDefault="00157D3A" w:rsidP="00157D3A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Побочные действия</w:t>
      </w:r>
    </w:p>
    <w:p w:rsidR="00157D3A" w:rsidRPr="00157D3A" w:rsidRDefault="00157D3A" w:rsidP="00157D3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Обычно препарат хорошо переносится. 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 xml:space="preserve">При приеме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алпизарина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внутрь возможны: 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— тошнота; 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— рвота; 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— диарея; 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— головная боль; 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— повышенная утомляемость; 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— аллергические кожные реакции.</w:t>
      </w:r>
    </w:p>
    <w:p w:rsidR="00157D3A" w:rsidRPr="00157D3A" w:rsidRDefault="00157D3A" w:rsidP="00157D3A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Особые указания</w:t>
      </w:r>
    </w:p>
    <w:p w:rsidR="00157D3A" w:rsidRPr="00157D3A" w:rsidRDefault="00157D3A" w:rsidP="00157D3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proofErr w:type="gram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В случае распространенных высыпаний, а также при наличии лихорадки,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лимфоаденопатии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и других общих явлениях применяют препарат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Алпизарин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таблетки 100 мг в комплексе с препаратом </w:t>
      </w:r>
      <w:proofErr w:type="spellStart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Алпизарин</w:t>
      </w:r>
      <w:proofErr w:type="spell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мазь для наружного и местного применения 2 % и 5 %.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1 таблетка препарата содержит 0,1 г сахара молочного (лактозы) и 0,0475 г крахмала картофельного, что соответствует 0,01 ХЕ (хлебных единиц).</w:t>
      </w:r>
      <w:proofErr w:type="gramEnd"/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Максимальная суточная доза препарата для детей от 3-х до 12-ти лет содержит 0,03 ХЕ; для детей старше 12-ти лет и взрослых - 0,08 ХЕ.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Влияние на способность к вождению автотранспорта и управлению механизмами:</w:t>
      </w: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br/>
        <w:t>Препарат не оказывает влияния на выполнение потенциально опасных видов деятельности или требующих повышенной концентрации внимания и быстроты психомоторных реакций (управление транспортом и работа с движущимися механизмами).</w:t>
      </w:r>
    </w:p>
    <w:p w:rsidR="00157D3A" w:rsidRPr="00157D3A" w:rsidRDefault="00157D3A" w:rsidP="00157D3A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Передозировка</w:t>
      </w:r>
    </w:p>
    <w:p w:rsidR="00157D3A" w:rsidRPr="00157D3A" w:rsidRDefault="00157D3A" w:rsidP="00157D3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До настоящего времени случаев передозировки не зарегистрировано. Возникновение передозировки маловероятно.</w:t>
      </w:r>
    </w:p>
    <w:p w:rsidR="00157D3A" w:rsidRPr="00157D3A" w:rsidRDefault="00157D3A" w:rsidP="00157D3A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Срок годности</w:t>
      </w:r>
    </w:p>
    <w:p w:rsidR="00157D3A" w:rsidRPr="00157D3A" w:rsidRDefault="00157D3A" w:rsidP="00157D3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5 лет.</w:t>
      </w:r>
    </w:p>
    <w:p w:rsidR="00157D3A" w:rsidRPr="00157D3A" w:rsidRDefault="00157D3A" w:rsidP="00157D3A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lastRenderedPageBreak/>
        <w:t>Условия хранения</w:t>
      </w:r>
    </w:p>
    <w:p w:rsidR="00157D3A" w:rsidRPr="00157D3A" w:rsidRDefault="00157D3A" w:rsidP="00157D3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157D3A">
        <w:rPr>
          <w:rFonts w:eastAsia="Times New Roman" w:cstheme="minorHAnsi"/>
          <w:color w:val="484849"/>
          <w:sz w:val="28"/>
          <w:szCs w:val="28"/>
          <w:lang w:eastAsia="ru-RU"/>
        </w:rPr>
        <w:t>В прохладном защищенном от света месте.</w:t>
      </w:r>
    </w:p>
    <w:p w:rsidR="00152287" w:rsidRPr="00157D3A" w:rsidRDefault="00152287" w:rsidP="00157D3A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sectPr w:rsidR="00152287" w:rsidRPr="00157D3A" w:rsidSect="009D299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02" w:rsidRDefault="00101202" w:rsidP="009D2996">
      <w:pPr>
        <w:spacing w:after="0" w:line="240" w:lineRule="auto"/>
      </w:pPr>
      <w:r>
        <w:separator/>
      </w:r>
    </w:p>
  </w:endnote>
  <w:endnote w:type="continuationSeparator" w:id="0">
    <w:p w:rsidR="00101202" w:rsidRDefault="00101202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02" w:rsidRDefault="00101202" w:rsidP="009D2996">
      <w:pPr>
        <w:spacing w:after="0" w:line="240" w:lineRule="auto"/>
      </w:pPr>
      <w:r>
        <w:separator/>
      </w:r>
    </w:p>
  </w:footnote>
  <w:footnote w:type="continuationSeparator" w:id="0">
    <w:p w:rsidR="00101202" w:rsidRDefault="00101202" w:rsidP="009D2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01202"/>
    <w:rsid w:val="00152287"/>
    <w:rsid w:val="00157D3A"/>
    <w:rsid w:val="004B0732"/>
    <w:rsid w:val="008C3C0F"/>
    <w:rsid w:val="009D2996"/>
    <w:rsid w:val="00B518BE"/>
    <w:rsid w:val="00E50256"/>
    <w:rsid w:val="00E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semiHidden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semiHidden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2020-06-07T13:57:00Z</cp:lastPrinted>
  <dcterms:created xsi:type="dcterms:W3CDTF">2020-06-07T16:16:00Z</dcterms:created>
  <dcterms:modified xsi:type="dcterms:W3CDTF">2020-06-07T16:16:00Z</dcterms:modified>
</cp:coreProperties>
</file>